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sz w:val="20"/>
          <w:szCs w:val="20"/>
        </w:rPr>
      </w:pPr>
      <w:r>
        <w:rPr>
          <w:rFonts w:cs="Arial" w:ascii="Verdana" w:hAnsi="Verdana"/>
          <w:b/>
          <w:bCs/>
          <w:smallCaps/>
          <w:color w:val="000000"/>
          <w:sz w:val="20"/>
          <w:szCs w:val="20"/>
        </w:rPr>
        <w:t xml:space="preserve">MINUTA DE EDITAL </w:t>
      </w:r>
    </w:p>
    <w:p>
      <w:pPr>
        <w:pStyle w:val="Normal"/>
        <w:spacing w:lineRule="auto" w:line="240"/>
        <w:jc w:val="center"/>
        <w:rPr>
          <w:sz w:val="20"/>
          <w:szCs w:val="20"/>
        </w:rPr>
      </w:pPr>
      <w:r>
        <w:rPr>
          <w:rFonts w:cs="Arial" w:ascii="Verdana" w:hAnsi="Verdana"/>
          <w:b/>
          <w:bCs/>
          <w:smallCaps/>
          <w:color w:val="000000"/>
          <w:sz w:val="20"/>
          <w:szCs w:val="20"/>
        </w:rPr>
        <w:t>PREGÃO ELETRÔNICO Nº 037/2026</w:t>
      </w:r>
    </w:p>
    <w:p>
      <w:pPr>
        <w:pStyle w:val="Normal"/>
        <w:spacing w:lineRule="auto" w:line="240"/>
        <w:jc w:val="center"/>
        <w:rPr>
          <w:sz w:val="20"/>
          <w:szCs w:val="20"/>
        </w:rPr>
      </w:pPr>
      <w:r>
        <w:rPr>
          <w:rFonts w:cs="Arial" w:ascii="Verdana" w:hAnsi="Verdana"/>
          <w:b/>
          <w:bCs/>
          <w:smallCaps/>
          <w:color w:val="000000"/>
          <w:sz w:val="20"/>
          <w:szCs w:val="20"/>
        </w:rPr>
        <w:t>(Processo Administrativo n° 3928/2026 de 08/06/2026)</w:t>
      </w:r>
    </w:p>
    <w:p>
      <w:pPr>
        <w:pStyle w:val="Normal"/>
        <w:spacing w:lineRule="auto" w:line="240"/>
        <w:jc w:val="center"/>
        <w:rPr>
          <w:sz w:val="20"/>
          <w:szCs w:val="20"/>
        </w:rPr>
      </w:pPr>
      <w:r>
        <w:rPr>
          <w:rFonts w:cs="Arial" w:ascii="Verdana" w:hAnsi="Verdana"/>
          <w:b/>
          <w:bCs/>
          <w:smallCaps/>
          <w:color w:val="000000"/>
          <w:sz w:val="20"/>
          <w:szCs w:val="20"/>
        </w:rPr>
        <w:t>CIDADES Nº 2026.065E0700001.01.0012</w:t>
      </w:r>
    </w:p>
    <w:p>
      <w:pPr>
        <w:pStyle w:val="Normal"/>
        <w:spacing w:lineRule="auto" w:line="240"/>
        <w:jc w:val="center"/>
        <w:rPr>
          <w:sz w:val="20"/>
          <w:szCs w:val="20"/>
        </w:rPr>
      </w:pPr>
      <w:r>
        <w:rPr>
          <w:sz w:val="20"/>
          <w:szCs w:val="20"/>
        </w:rPr>
      </w:r>
    </w:p>
    <w:p>
      <w:pPr>
        <w:pStyle w:val="Normal"/>
        <w:spacing w:lineRule="auto" w:line="240"/>
        <w:jc w:val="center"/>
        <w:rPr>
          <w:sz w:val="20"/>
          <w:szCs w:val="20"/>
        </w:rPr>
      </w:pPr>
      <w:r>
        <w:rPr>
          <w:sz w:val="20"/>
          <w:szCs w:val="20"/>
        </w:rPr>
      </w:r>
    </w:p>
    <w:p>
      <w:pPr>
        <w:pStyle w:val="BodyText"/>
        <w:spacing w:lineRule="auto" w:line="240" w:before="57" w:after="57"/>
        <w:jc w:val="both"/>
        <w:rPr>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16/09</w:t>
      </w:r>
      <w:r>
        <w:rPr>
          <w:rFonts w:cs="Arial" w:ascii="Verdana" w:hAnsi="Verdana"/>
          <w:b/>
          <w:bCs/>
          <w:color w:val="000000"/>
          <w:sz w:val="20"/>
          <w:szCs w:val="20"/>
        </w:rPr>
        <w:t>/2026.</w:t>
      </w:r>
    </w:p>
    <w:p>
      <w:pPr>
        <w:pStyle w:val="Normal"/>
        <w:spacing w:lineRule="auto" w:line="240" w:before="57" w:after="57"/>
        <w:rPr>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40" w:before="57" w:after="57"/>
        <w:rPr>
          <w:sz w:val="20"/>
          <w:szCs w:val="20"/>
        </w:rPr>
      </w:pPr>
      <w:r>
        <w:rPr>
          <w:rFonts w:cs="Arial" w:ascii="Verdana" w:hAnsi="Verdana"/>
          <w:b/>
          <w:bCs/>
          <w:color w:val="000000"/>
          <w:sz w:val="20"/>
          <w:szCs w:val="20"/>
        </w:rPr>
        <w:t>Local:</w:t>
      </w:r>
      <w:r>
        <w:rPr>
          <w:rFonts w:cs="Arial" w:ascii="Verdana" w:hAnsi="Verdana"/>
          <w:color w:val="000000"/>
          <w:sz w:val="20"/>
          <w:szCs w:val="20"/>
        </w:rPr>
        <w:t xml:space="preserve"> Portal de Compras Públicas – </w:t>
      </w:r>
      <w:bookmarkStart w:id="0" w:name="_Hlk123138684"/>
      <w:r>
        <w:rPr>
          <w:rFonts w:cs="Arial" w:ascii="Verdana" w:hAnsi="Verdana"/>
          <w:b/>
          <w:bCs/>
          <w:color w:val="000000"/>
          <w:sz w:val="20"/>
          <w:szCs w:val="20"/>
        </w:rPr>
        <w:t>www.portaldecompraspublicas.com.br</w:t>
      </w:r>
      <w:bookmarkEnd w:id="0"/>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sz w:val="20"/>
          <w:szCs w:val="20"/>
        </w:rPr>
      </w:pPr>
      <w:r>
        <w:rPr>
          <w:rFonts w:cs="Arial" w:ascii="Verdana" w:hAnsi="Verdana"/>
          <w:sz w:val="20"/>
          <w:szCs w:val="20"/>
        </w:rPr>
        <w:t>DO OBJETO</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 xml:space="preserve">1.1 O objeto da presente licitação é a </w:t>
      </w:r>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r>
        <w:rPr>
          <w:rFonts w:ascii="Verdana" w:hAnsi="Verdana"/>
          <w:iCs/>
          <w:sz w:val="20"/>
          <w:szCs w:val="20"/>
        </w:rPr>
        <w:t>contratação de empresa para prestação de</w:t>
      </w:r>
      <w:r>
        <w:rPr>
          <w:rFonts w:ascii="Verdana" w:hAnsi="Verdana"/>
          <w:b/>
          <w:bCs/>
          <w:iCs/>
          <w:sz w:val="20"/>
          <w:szCs w:val="20"/>
        </w:rPr>
        <w:t xml:space="preserve"> </w:t>
      </w:r>
      <w:r>
        <w:rPr>
          <w:rFonts w:cs="Arial" w:ascii="Verdana" w:hAnsi="Verdana"/>
          <w:iCs/>
          <w:sz w:val="20"/>
          <w:szCs w:val="20"/>
        </w:rPr>
        <w:t>serviços de plotagem, fabricação e reforma de placas, faixas e banners,</w:t>
      </w:r>
      <w:r>
        <w:rPr>
          <w:rFonts w:ascii="Verdana" w:hAnsi="Verdana"/>
          <w:iCs/>
          <w:sz w:val="20"/>
          <w:szCs w:val="20"/>
        </w:rPr>
        <w:t xml:space="preserve"> para um período de 01 (um) ano</w:t>
      </w:r>
      <w:r>
        <w:rPr>
          <w:rFonts w:eastAsia="Batang;바탕" w:cs="Arial" w:ascii="Verdana" w:hAnsi="Verdana"/>
          <w:color w:val="000000"/>
          <w:kern w:val="2"/>
          <w:sz w:val="20"/>
          <w:szCs w:val="20"/>
          <w:lang w:eastAsia="en-US" w:bidi="pt-BR"/>
        </w:rPr>
        <w:t>, conforme c</w:t>
      </w:r>
      <w:r>
        <w:rPr>
          <w:rFonts w:cs="Arial" w:ascii="Verdana" w:hAnsi="Verdana"/>
          <w:sz w:val="20"/>
          <w:szCs w:val="20"/>
        </w:rPr>
        <w:t>ondições, quantidades e exigências estabelecidas neste Edital e seus anexos.</w:t>
      </w:r>
    </w:p>
    <w:p>
      <w:pPr>
        <w:pStyle w:val="Normal"/>
        <w:spacing w:lineRule="auto" w:line="240" w:before="57" w:after="57"/>
        <w:jc w:val="both"/>
        <w:rPr>
          <w:sz w:val="20"/>
          <w:szCs w:val="20"/>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40" w:before="57" w:after="57"/>
        <w:jc w:val="both"/>
        <w:rPr>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spacing w:lineRule="auto" w:line="240" w:before="57" w:after="57"/>
        <w:jc w:val="both"/>
        <w:rPr>
          <w:sz w:val="20"/>
          <w:szCs w:val="20"/>
        </w:rPr>
      </w:pPr>
      <w:r>
        <w:rPr>
          <w:rFonts w:eastAsia="Batang;바탕" w:cs="Arial" w:ascii="Verdana" w:hAnsi="Verdana"/>
          <w:b/>
          <w:bCs/>
          <w:sz w:val="20"/>
          <w:szCs w:val="20"/>
        </w:rPr>
        <w:t xml:space="preserve">a) </w:t>
      </w:r>
      <w:r>
        <w:rPr>
          <w:rFonts w:eastAsia="Batang;바탕" w:cs="Arial" w:ascii="Verdana" w:hAnsi="Verdana"/>
          <w:sz w:val="20"/>
          <w:szCs w:val="20"/>
        </w:rPr>
        <w:t>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pPr>
        <w:pStyle w:val="Normal"/>
        <w:spacing w:lineRule="auto" w:line="240" w:before="0" w:after="0"/>
        <w:jc w:val="both"/>
        <w:rPr>
          <w:rFonts w:cs="Arial"/>
          <w:iCs/>
          <w:color w:val="000000"/>
          <w:sz w:val="20"/>
          <w:szCs w:val="20"/>
        </w:rPr>
      </w:pPr>
      <w:r>
        <w:rPr>
          <w:rFonts w:cs="Arial"/>
          <w:iCs/>
          <w:color w:val="000000"/>
          <w:sz w:val="20"/>
          <w:szCs w:val="20"/>
        </w:rPr>
      </w:r>
    </w:p>
    <w:p>
      <w:pPr>
        <w:pStyle w:val="Nivel01"/>
        <w:numPr>
          <w:ilvl w:val="0"/>
          <w:numId w:val="2"/>
        </w:numPr>
        <w:spacing w:lineRule="auto" w:line="240" w:before="0" w:after="0"/>
        <w:ind w:hanging="0" w:left="57" w:right="57"/>
        <w:rPr>
          <w:sz w:val="20"/>
          <w:szCs w:val="20"/>
        </w:rPr>
      </w:pPr>
      <w:r>
        <w:rPr>
          <w:rFonts w:cs="Arial" w:ascii="Verdana" w:hAnsi="Verdana"/>
          <w:sz w:val="20"/>
          <w:szCs w:val="20"/>
        </w:rPr>
        <w:t xml:space="preserve">DO REGISTRO DE PREÇOS </w:t>
      </w:r>
    </w:p>
    <w:p>
      <w:pPr>
        <w:pStyle w:val="Normal"/>
        <w:spacing w:lineRule="auto" w:line="240" w:before="0" w:after="0"/>
        <w:ind w:left="57" w:right="57"/>
        <w:jc w:val="both"/>
        <w:rPr>
          <w:sz w:val="20"/>
          <w:szCs w:val="20"/>
        </w:rPr>
      </w:pPr>
      <w:r>
        <w:rPr>
          <w:rFonts w:cs="Arial" w:ascii="Verdana" w:hAnsi="Verdana"/>
          <w:color w:val="000000"/>
          <w:sz w:val="20"/>
          <w:szCs w:val="20"/>
        </w:rPr>
        <w:t>2.1 As regras referentes aos órgãos gerenciador e participantes, bem como a eventuais adesões são as que constam da minuta de Ata de Registro de Preços.</w:t>
      </w:r>
    </w:p>
    <w:p>
      <w:pPr>
        <w:pStyle w:val="Normal"/>
        <w:spacing w:lineRule="auto" w:line="240" w:before="0" w:after="0"/>
        <w:rPr>
          <w:rFonts w:cs="Times New Roman"/>
          <w:color w:val="000000"/>
          <w:sz w:val="20"/>
          <w:szCs w:val="20"/>
          <w:lang w:eastAsia="ar-SA"/>
        </w:rPr>
      </w:pPr>
      <w:r>
        <w:rPr>
          <w:rFonts w:cs="Times New Roman"/>
          <w:color w:val="000000"/>
          <w:sz w:val="20"/>
          <w:szCs w:val="20"/>
          <w:lang w:eastAsia="ar-SA"/>
        </w:rPr>
      </w:r>
    </w:p>
    <w:p>
      <w:pPr>
        <w:pStyle w:val="Nivel01"/>
        <w:numPr>
          <w:ilvl w:val="0"/>
          <w:numId w:val="2"/>
        </w:numPr>
        <w:spacing w:lineRule="auto" w:line="240" w:before="0" w:after="0"/>
        <w:ind w:hanging="0" w:left="0"/>
        <w:rPr>
          <w:sz w:val="20"/>
          <w:szCs w:val="20"/>
        </w:rPr>
      </w:pPr>
      <w:r>
        <w:rPr>
          <w:rFonts w:cs="Arial" w:ascii="Verdana" w:hAnsi="Verdana"/>
          <w:sz w:val="20"/>
          <w:szCs w:val="20"/>
        </w:rPr>
        <w:t>DO CREDENCIAMENTO</w:t>
      </w:r>
    </w:p>
    <w:p>
      <w:pPr>
        <w:pStyle w:val="Default"/>
        <w:spacing w:lineRule="auto" w:line="240" w:before="0" w:after="0"/>
        <w:ind w:right="113"/>
        <w:jc w:val="both"/>
        <w:rPr>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113" w:after="113"/>
        <w:ind w:right="113"/>
        <w:jc w:val="both"/>
        <w:rPr>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113" w:after="113"/>
        <w:ind w:right="113"/>
        <w:jc w:val="both"/>
        <w:rPr>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113" w:after="113"/>
        <w:ind w:right="113"/>
        <w:jc w:val="both"/>
        <w:rPr>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before="113" w:after="113"/>
        <w:ind w:right="113"/>
        <w:jc w:val="both"/>
        <w:rPr>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0" w:after="0"/>
        <w:ind w:right="113"/>
        <w:jc w:val="both"/>
        <w:rPr>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ind w:right="113"/>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sz w:val="20"/>
          <w:szCs w:val="20"/>
        </w:rPr>
      </w:pPr>
      <w:r>
        <w:rPr>
          <w:rFonts w:cs="Arial" w:ascii="Verdana" w:hAnsi="Verdana"/>
          <w:sz w:val="20"/>
          <w:szCs w:val="20"/>
        </w:rPr>
        <w:t>DA PARTICIPAÇÃO NO PREGÃO.</w:t>
      </w:r>
    </w:p>
    <w:p>
      <w:pPr>
        <w:pStyle w:val="Normal"/>
        <w:spacing w:lineRule="auto" w:line="240" w:before="57" w:after="57"/>
        <w:jc w:val="both"/>
        <w:rPr>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120" w:after="120"/>
        <w:jc w:val="both"/>
        <w:rPr>
          <w:sz w:val="20"/>
          <w:szCs w:val="20"/>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57" w:after="57"/>
        <w:jc w:val="both"/>
        <w:rPr/>
      </w:pPr>
      <w:r>
        <w:rPr>
          <w:rFonts w:cs="Arial" w:ascii="Verdana" w:hAnsi="Verdana"/>
          <w:iCs/>
          <w:color w:val="000000"/>
          <w:sz w:val="20"/>
          <w:szCs w:val="20"/>
        </w:rPr>
        <w:t xml:space="preserve">4.2.2 </w:t>
      </w:r>
      <w:r>
        <w:rPr>
          <w:rFonts w:cs="Arial" w:ascii="Verdana" w:hAnsi="Verdana"/>
          <w:bCs/>
          <w:iCs/>
          <w:color w:val="000000"/>
          <w:sz w:val="20"/>
          <w:szCs w:val="20"/>
        </w:rPr>
        <w:t xml:space="preserve">Poderão participar da licitação </w:t>
      </w:r>
      <w:r>
        <w:rPr>
          <w:rFonts w:cs="Arial" w:ascii="Verdana" w:hAnsi="Verdana"/>
          <w:b/>
          <w:bCs/>
          <w:iCs/>
          <w:color w:val="000000"/>
          <w:sz w:val="20"/>
          <w:szCs w:val="20"/>
        </w:rPr>
        <w:t xml:space="preserve">apenas </w:t>
      </w:r>
      <w:r>
        <w:rPr>
          <w:rFonts w:cs="Arial" w:ascii="Verdana" w:hAnsi="Verdana"/>
          <w:bCs/>
          <w:iCs/>
          <w:color w:val="000000"/>
          <w:sz w:val="20"/>
          <w:szCs w:val="20"/>
        </w:rPr>
        <w:t xml:space="preserve">as empresas interessadas qualificadas, na forma da Lei Complementar nº 123/2006, </w:t>
      </w:r>
      <w:r>
        <w:rPr>
          <w:rFonts w:cs="Arial" w:ascii="Verdana" w:hAnsi="Verdana"/>
          <w:b/>
          <w:bCs/>
          <w:iCs/>
          <w:color w:val="000000"/>
          <w:sz w:val="20"/>
          <w:szCs w:val="20"/>
          <w:u w:val="single"/>
        </w:rPr>
        <w:t>como microempresa (ME) ou empresa de pequeno porte (EPP)</w:t>
      </w:r>
      <w:r>
        <w:rPr>
          <w:rFonts w:cs="Arial" w:ascii="Verdana" w:hAnsi="Verdana"/>
          <w:bCs/>
          <w:iCs/>
          <w:color w:val="000000"/>
          <w:sz w:val="20"/>
          <w:szCs w:val="20"/>
        </w:rPr>
        <w:t xml:space="preserve"> pertencentes ao ramo de atividade relacionado ao objeto da licitação e que estiverem previamente credenciadas perante o sistema eletrônico provido pelo Portal de Compras Públicas, por meio do sítio </w:t>
      </w:r>
      <w:hyperlink r:id="rId2">
        <w:r>
          <w:rPr>
            <w:rStyle w:val="Hyperlink"/>
            <w:rFonts w:cs="Arial" w:ascii="Verdana" w:hAnsi="Verdana"/>
            <w:b/>
            <w:bCs/>
            <w:i/>
            <w:iCs/>
            <w:sz w:val="20"/>
            <w:szCs w:val="20"/>
          </w:rPr>
          <w:t>www.portaldecompraspublicas.com.br</w:t>
        </w:r>
      </w:hyperlink>
      <w:r>
        <w:rPr>
          <w:rStyle w:val="Hyperlink"/>
          <w:rFonts w:cs="Arial" w:ascii="Verdana" w:hAnsi="Verdana"/>
          <w:b/>
          <w:bCs/>
          <w:iCs/>
          <w:sz w:val="20"/>
          <w:szCs w:val="20"/>
        </w:rPr>
        <w:t>.</w:t>
      </w:r>
      <w:r>
        <w:rPr>
          <w:rFonts w:cs="Arial" w:ascii="Verdana" w:hAnsi="Verdana"/>
          <w:bCs/>
          <w:iCs/>
          <w:color w:val="000000"/>
          <w:sz w:val="20"/>
          <w:szCs w:val="20"/>
        </w:rPr>
        <w:t xml:space="preserve"> </w:t>
      </w:r>
    </w:p>
    <w:p>
      <w:pPr>
        <w:pStyle w:val="Normal"/>
        <w:snapToGrid w:val="false"/>
        <w:spacing w:lineRule="auto" w:line="240" w:before="57" w:after="57"/>
        <w:jc w:val="both"/>
        <w:rPr>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40" w:before="57" w:after="57"/>
        <w:jc w:val="both"/>
        <w:rPr>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40" w:before="57" w:after="57"/>
        <w:jc w:val="both"/>
        <w:rPr>
          <w:sz w:val="20"/>
          <w:szCs w:val="20"/>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lineRule="auto" w:line="240" w:before="57" w:after="57"/>
        <w:jc w:val="both"/>
        <w:rPr>
          <w:sz w:val="20"/>
          <w:szCs w:val="20"/>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lineRule="auto" w:line="240" w:before="57" w:after="57"/>
        <w:jc w:val="both"/>
        <w:rPr>
          <w:sz w:val="20"/>
          <w:szCs w:val="20"/>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lineRule="auto" w:line="240" w:before="57" w:after="57"/>
        <w:jc w:val="both"/>
        <w:rPr>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sz w:val="20"/>
          <w:szCs w:val="20"/>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lineRule="auto" w:line="240" w:before="57" w:after="57"/>
        <w:jc w:val="both"/>
        <w:rPr>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sz w:val="20"/>
          <w:szCs w:val="20"/>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40" w:before="57" w:after="57"/>
        <w:jc w:val="both"/>
        <w:rPr>
          <w:sz w:val="20"/>
          <w:szCs w:val="20"/>
        </w:rPr>
      </w:pPr>
      <w:r>
        <w:rPr>
          <w:rFonts w:cs="Arial" w:ascii="Verdana" w:hAnsi="Verdana"/>
          <w:bCs/>
          <w:color w:val="000000"/>
          <w:sz w:val="20"/>
          <w:szCs w:val="20"/>
        </w:rPr>
        <w:t>4.3.10 Pessoas jurídicas reunidas em consórcio;</w:t>
      </w:r>
    </w:p>
    <w:p>
      <w:pPr>
        <w:pStyle w:val="Normal"/>
        <w:snapToGrid w:val="false"/>
        <w:spacing w:lineRule="auto" w:line="240" w:before="57" w:after="57"/>
        <w:jc w:val="both"/>
        <w:rPr>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ind w:hanging="0" w:left="0"/>
        <w:rPr>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ind w:hanging="0" w:left="0"/>
        <w:rPr>
          <w:sz w:val="20"/>
          <w:szCs w:val="20"/>
        </w:rPr>
      </w:pPr>
      <w:bookmarkStart w:id="6" w:name="art14§2"/>
      <w:bookmarkEnd w:id="6"/>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ind w:hanging="0" w:left="0"/>
        <w:rPr>
          <w:sz w:val="20"/>
          <w:szCs w:val="20"/>
        </w:rPr>
      </w:pPr>
      <w:bookmarkStart w:id="7" w:name="art14§3"/>
      <w:bookmarkEnd w:id="7"/>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ind w:hanging="0" w:left="0"/>
        <w:rPr>
          <w:sz w:val="20"/>
          <w:szCs w:val="20"/>
        </w:rPr>
      </w:pPr>
      <w:bookmarkStart w:id="8" w:name="art14§4"/>
      <w:bookmarkEnd w:id="8"/>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ind w:hanging="0" w:left="0"/>
        <w:rPr/>
      </w:pPr>
      <w:bookmarkStart w:id="9" w:name="art14§5"/>
      <w:bookmarkEnd w:id="9"/>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0" w:after="0"/>
        <w:ind w:hanging="0" w:left="0"/>
        <w:rPr>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sz w:val="20"/>
          <w:szCs w:val="20"/>
        </w:rPr>
      </w:pPr>
      <w:r>
        <w:rPr>
          <w:rFonts w:eastAsia="Segoe UI" w:cs="Arial" w:ascii="Verdana" w:hAnsi="Verdana"/>
          <w:bCs/>
          <w:color w:val="000000"/>
          <w:sz w:val="20"/>
          <w:szCs w:val="20"/>
        </w:rPr>
      </w:r>
    </w:p>
    <w:p>
      <w:pPr>
        <w:pStyle w:val="Nivel01"/>
        <w:numPr>
          <w:ilvl w:val="0"/>
          <w:numId w:val="2"/>
        </w:numPr>
        <w:spacing w:lineRule="auto" w:line="240" w:before="0" w:after="0"/>
        <w:ind w:hanging="0" w:left="0"/>
        <w:rPr>
          <w:sz w:val="20"/>
          <w:szCs w:val="20"/>
        </w:rPr>
      </w:pPr>
      <w:r>
        <w:rPr>
          <w:rFonts w:cs="Arial" w:ascii="Verdana" w:hAnsi="Verdana"/>
          <w:sz w:val="20"/>
          <w:szCs w:val="20"/>
        </w:rPr>
        <w:t>DA APRESENTAÇÃO DA PROPOSTA E DOS DOCUMENTOS DE HABILITAÇÃO</w:t>
      </w:r>
    </w:p>
    <w:p>
      <w:pPr>
        <w:pStyle w:val="Normal"/>
        <w:numPr>
          <w:ilvl w:val="1"/>
          <w:numId w:val="2"/>
        </w:numPr>
        <w:tabs>
          <w:tab w:val="clear" w:pos="720"/>
          <w:tab w:val="left" w:pos="450" w:leader="none"/>
          <w:tab w:val="left" w:pos="1450" w:leader="none"/>
        </w:tabs>
        <w:spacing w:lineRule="auto" w:line="240" w:before="57" w:after="57"/>
        <w:ind w:hanging="0" w:left="0"/>
        <w:jc w:val="both"/>
        <w:rPr>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
        </w:numPr>
        <w:tabs>
          <w:tab w:val="clear" w:pos="720"/>
          <w:tab w:val="left" w:pos="450" w:leader="none"/>
        </w:tabs>
        <w:spacing w:lineRule="auto" w:line="240" w:before="57" w:after="57"/>
        <w:ind w:hanging="0" w:left="0"/>
        <w:jc w:val="both"/>
        <w:rPr>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
        </w:numPr>
        <w:tabs>
          <w:tab w:val="clear" w:pos="720"/>
          <w:tab w:val="left" w:pos="450" w:leader="none"/>
        </w:tabs>
        <w:spacing w:lineRule="auto" w:line="240" w:before="57" w:after="57"/>
        <w:ind w:hanging="0" w:left="0"/>
        <w:jc w:val="both"/>
        <w:rPr>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
        </w:numPr>
        <w:tabs>
          <w:tab w:val="clear" w:pos="720"/>
          <w:tab w:val="left" w:pos="450" w:leader="none"/>
        </w:tabs>
        <w:spacing w:lineRule="auto" w:line="240" w:before="57" w:after="57"/>
        <w:ind w:hanging="0" w:left="0"/>
        <w:jc w:val="both"/>
        <w:rPr>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
        </w:numPr>
        <w:tabs>
          <w:tab w:val="clear" w:pos="720"/>
          <w:tab w:val="left" w:pos="450" w:leader="none"/>
        </w:tabs>
        <w:spacing w:lineRule="auto" w:line="240" w:before="57" w:after="57"/>
        <w:ind w:hanging="0" w:left="0"/>
        <w:jc w:val="both"/>
        <w:rPr>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
        </w:numPr>
        <w:tabs>
          <w:tab w:val="clear" w:pos="720"/>
          <w:tab w:val="left" w:pos="450" w:leader="none"/>
        </w:tabs>
        <w:spacing w:lineRule="auto" w:line="240" w:before="57" w:after="57"/>
        <w:ind w:hanging="0" w:left="0"/>
        <w:jc w:val="both"/>
        <w:rPr>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
        </w:numPr>
        <w:tabs>
          <w:tab w:val="clear" w:pos="720"/>
          <w:tab w:val="left" w:pos="450" w:leader="none"/>
        </w:tabs>
        <w:spacing w:lineRule="auto" w:line="240" w:before="57" w:after="57"/>
        <w:ind w:hanging="0" w:left="0"/>
        <w:jc w:val="both"/>
        <w:rPr>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
        </w:numPr>
        <w:tabs>
          <w:tab w:val="clear" w:pos="720"/>
          <w:tab w:val="left" w:pos="450" w:leader="none"/>
        </w:tabs>
        <w:spacing w:lineRule="auto" w:line="240" w:before="0" w:after="0"/>
        <w:ind w:hanging="0" w:left="0"/>
        <w:jc w:val="both"/>
        <w:rPr>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sz w:val="20"/>
          <w:szCs w:val="20"/>
        </w:rPr>
      </w:pPr>
      <w:r>
        <w:rPr>
          <w:rFonts w:cs="Arial" w:ascii="Verdana" w:hAnsi="Verdana"/>
          <w:sz w:val="20"/>
          <w:szCs w:val="20"/>
        </w:rPr>
        <w:t>DO PREENCHIMENTO DA PROPOSTA</w:t>
      </w:r>
    </w:p>
    <w:p>
      <w:pPr>
        <w:pStyle w:val="Normal"/>
        <w:numPr>
          <w:ilvl w:val="1"/>
          <w:numId w:val="2"/>
        </w:numPr>
        <w:tabs>
          <w:tab w:val="clear" w:pos="720"/>
          <w:tab w:val="left" w:pos="450" w:leader="none"/>
        </w:tabs>
        <w:spacing w:lineRule="auto" w:line="240" w:before="0" w:after="0"/>
        <w:ind w:hanging="0" w:left="0" w:right="113"/>
        <w:jc w:val="both"/>
        <w:rPr>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20"/>
          <w:tab w:val="left" w:pos="617" w:leader="none"/>
          <w:tab w:val="left" w:pos="733" w:leader="none"/>
        </w:tabs>
        <w:snapToGrid w:val="false"/>
        <w:spacing w:lineRule="auto" w:line="240" w:before="113" w:after="113"/>
        <w:ind w:hanging="1638" w:left="1638" w:right="113"/>
        <w:jc w:val="both"/>
        <w:rPr>
          <w:sz w:val="20"/>
          <w:szCs w:val="20"/>
        </w:rPr>
      </w:pPr>
      <w:r>
        <w:rPr>
          <w:rFonts w:cs="Arial" w:ascii="Verdana" w:hAnsi="Verdana"/>
          <w:iCs/>
          <w:color w:themeColor="text1" w:val="000000"/>
          <w:sz w:val="20"/>
          <w:szCs w:val="20"/>
        </w:rPr>
        <w:t>Valor unitário e total do item;</w:t>
      </w:r>
    </w:p>
    <w:p>
      <w:pPr>
        <w:pStyle w:val="Normal"/>
        <w:tabs>
          <w:tab w:val="clear" w:pos="720"/>
          <w:tab w:val="left" w:pos="617" w:leader="none"/>
          <w:tab w:val="left" w:pos="1440" w:leader="none"/>
        </w:tabs>
        <w:snapToGrid w:val="false"/>
        <w:spacing w:lineRule="auto" w:line="240" w:before="113" w:after="113"/>
        <w:ind w:right="113"/>
        <w:jc w:val="both"/>
        <w:rPr>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20"/>
          <w:tab w:val="left" w:pos="617" w:leader="none"/>
          <w:tab w:val="left" w:pos="683" w:leader="none"/>
        </w:tabs>
        <w:snapToGrid w:val="false"/>
        <w:spacing w:lineRule="auto" w:line="240" w:before="113" w:after="113"/>
        <w:ind w:hanging="0" w:left="0" w:right="113"/>
        <w:jc w:val="both"/>
        <w:rPr>
          <w:sz w:val="20"/>
          <w:szCs w:val="20"/>
        </w:rPr>
      </w:pPr>
      <w:r>
        <w:rPr>
          <w:rFonts w:cs="Arial" w:ascii="Verdana" w:hAnsi="Verdana"/>
          <w:bCs/>
          <w:iCs/>
          <w:color w:val="000000"/>
          <w:sz w:val="20"/>
          <w:szCs w:val="20"/>
        </w:rPr>
        <w:t>Marca;</w:t>
      </w:r>
    </w:p>
    <w:p>
      <w:pPr>
        <w:pStyle w:val="Normal"/>
        <w:numPr>
          <w:ilvl w:val="2"/>
          <w:numId w:val="2"/>
        </w:numPr>
        <w:tabs>
          <w:tab w:val="clear" w:pos="720"/>
          <w:tab w:val="left" w:pos="617" w:leader="none"/>
          <w:tab w:val="left" w:pos="683" w:leader="none"/>
        </w:tabs>
        <w:snapToGrid w:val="false"/>
        <w:spacing w:lineRule="auto" w:line="240" w:before="113" w:after="113"/>
        <w:ind w:hanging="0" w:left="0" w:right="113"/>
        <w:jc w:val="both"/>
        <w:rPr>
          <w:sz w:val="20"/>
          <w:szCs w:val="20"/>
        </w:rPr>
      </w:pPr>
      <w:r>
        <w:rPr>
          <w:rFonts w:cs="Arial" w:ascii="Verdana" w:hAnsi="Verdana"/>
          <w:bCs/>
          <w:iCs/>
          <w:color w:val="000000"/>
          <w:sz w:val="20"/>
          <w:szCs w:val="20"/>
        </w:rPr>
        <w:t>Fabricante;</w:t>
      </w:r>
    </w:p>
    <w:p>
      <w:pPr>
        <w:pStyle w:val="Normal"/>
        <w:numPr>
          <w:ilvl w:val="2"/>
          <w:numId w:val="2"/>
        </w:numPr>
        <w:tabs>
          <w:tab w:val="clear" w:pos="720"/>
          <w:tab w:val="left" w:pos="617" w:leader="none"/>
          <w:tab w:val="left" w:pos="683" w:leader="none"/>
        </w:tabs>
        <w:snapToGrid w:val="false"/>
        <w:spacing w:lineRule="auto" w:line="240" w:before="113" w:after="113"/>
        <w:ind w:hanging="0" w:left="0" w:right="113"/>
        <w:jc w:val="both"/>
        <w:rPr>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20"/>
          <w:tab w:val="left" w:pos="450" w:leader="none"/>
        </w:tabs>
        <w:spacing w:lineRule="auto" w:line="240" w:before="113" w:after="113"/>
        <w:ind w:hanging="6" w:left="0" w:right="113"/>
        <w:contextualSpacing/>
        <w:jc w:val="both"/>
        <w:rPr>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20"/>
          <w:tab w:val="left" w:pos="450" w:leader="none"/>
        </w:tabs>
        <w:spacing w:lineRule="auto" w:line="240" w:before="113" w:after="113"/>
        <w:ind w:hanging="6" w:left="0" w:right="113"/>
        <w:contextualSpacing/>
        <w:jc w:val="both"/>
        <w:rPr>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20"/>
          <w:tab w:val="left" w:pos="450" w:leader="none"/>
        </w:tabs>
        <w:spacing w:lineRule="auto" w:line="240" w:before="113" w:after="0"/>
        <w:ind w:hanging="6" w:left="0" w:right="113"/>
        <w:contextualSpacing/>
        <w:jc w:val="both"/>
        <w:rPr>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20"/>
          <w:tab w:val="left" w:pos="426" w:leader="none"/>
        </w:tabs>
        <w:suppressAutoHyphens w:val="false"/>
        <w:spacing w:lineRule="auto" w:line="240" w:before="0" w:after="0"/>
        <w:ind w:hanging="0" w:left="0"/>
        <w:rPr>
          <w:sz w:val="20"/>
          <w:szCs w:val="20"/>
        </w:rPr>
      </w:pPr>
      <w:r>
        <w:rPr>
          <w:rFonts w:ascii="Verdana" w:hAnsi="Verdana"/>
          <w:sz w:val="20"/>
          <w:szCs w:val="20"/>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20"/>
          <w:tab w:val="left" w:pos="450" w:leader="none"/>
        </w:tabs>
        <w:spacing w:lineRule="auto" w:line="240" w:before="113" w:after="113"/>
        <w:ind w:hanging="6" w:left="0" w:right="113"/>
        <w:contextualSpacing/>
        <w:jc w:val="both"/>
        <w:rPr>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20"/>
          <w:tab w:val="left" w:pos="450" w:leader="none"/>
        </w:tabs>
        <w:spacing w:lineRule="auto" w:line="240" w:before="113" w:after="113"/>
        <w:ind w:hanging="6" w:left="0" w:right="113"/>
        <w:contextualSpacing/>
        <w:jc w:val="both"/>
        <w:rPr>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113" w:after="113"/>
        <w:ind w:left="0" w:right="113"/>
        <w:contextualSpacing/>
        <w:jc w:val="both"/>
        <w:rPr>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113" w:after="113"/>
        <w:ind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57" w:after="57"/>
        <w:ind w:hanging="0" w:left="0"/>
        <w:jc w:val="both"/>
        <w:rPr>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jc w:val="both"/>
        <w:rPr>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jc w:val="both"/>
        <w:rPr>
          <w:sz w:val="20"/>
          <w:szCs w:val="20"/>
        </w:rPr>
      </w:pPr>
      <w:r>
        <w:rPr>
          <w:sz w:val="20"/>
          <w:szCs w:val="20"/>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40"/>
        <w:jc w:val="both"/>
        <w:rPr>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40" w:before="57" w:after="57"/>
        <w:jc w:val="both"/>
        <w:rPr>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40" w:before="57" w:after="57"/>
        <w:jc w:val="both"/>
        <w:rPr>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40" w:before="57" w:after="57"/>
        <w:jc w:val="both"/>
        <w:rPr>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40" w:before="57" w:after="57"/>
        <w:jc w:val="both"/>
        <w:rPr>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40" w:before="57" w:after="57"/>
        <w:jc w:val="both"/>
        <w:rPr>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40" w:before="57" w:after="57"/>
        <w:jc w:val="both"/>
        <w:rPr>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40" w:before="57" w:after="57"/>
        <w:jc w:val="both"/>
        <w:rPr>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sz w:val="20"/>
          <w:szCs w:val="20"/>
        </w:rPr>
      </w:pPr>
      <w:r>
        <w:rPr>
          <w:rFonts w:cs="Arial" w:ascii="Verdana" w:hAnsi="Verdana"/>
          <w:color w:val="000000"/>
          <w:sz w:val="20"/>
          <w:szCs w:val="20"/>
          <w:lang w:eastAsia="en-US"/>
        </w:rPr>
        <w:t>7.25.3 Por empresas brasileiras;</w:t>
      </w:r>
    </w:p>
    <w:p>
      <w:pPr>
        <w:pStyle w:val="Normal"/>
        <w:spacing w:lineRule="auto" w:line="240" w:before="57" w:after="57"/>
        <w:jc w:val="both"/>
        <w:rPr>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rFonts w:ascii="Verdana" w:hAnsi="Verdana"/>
          <w:sz w:val="20"/>
          <w:szCs w:val="20"/>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rFonts w:ascii="Verdana" w:hAnsi="Verdana"/>
          <w:sz w:val="20"/>
          <w:szCs w:val="20"/>
        </w:rPr>
        <w:fldChar w:fldCharType="separate"/>
      </w:r>
      <w:r>
        <w:rPr>
          <w:rStyle w:val="Hyperlink"/>
          <w:rFonts w:ascii="Verdana" w:hAnsi="Verdana"/>
          <w:sz w:val="20"/>
          <w:szCs w:val="20"/>
        </w:rPr>
        <w:t>Lei nº 12.187, de 29 de dezembro de 2009</w:t>
      </w:r>
      <w:r>
        <w:rPr>
          <w:rStyle w:val="Hyperlink"/>
          <w:rFonts w:ascii="Verdana" w:hAnsi="Verdana"/>
          <w:sz w:val="20"/>
          <w:szCs w:val="20"/>
        </w:rPr>
        <w:fldChar w:fldCharType="end"/>
      </w:r>
      <w:r>
        <w:rPr>
          <w:rFonts w:ascii="Verdana" w:hAnsi="Verdana"/>
          <w:sz w:val="20"/>
          <w:szCs w:val="20"/>
        </w:rPr>
        <w:t>.</w:t>
      </w:r>
    </w:p>
    <w:p>
      <w:pPr>
        <w:pStyle w:val="Normal"/>
        <w:spacing w:lineRule="auto" w:line="240" w:before="57" w:after="57"/>
        <w:jc w:val="both"/>
        <w:rPr>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20"/>
          <w:tab w:val="left" w:pos="-12" w:leader="none"/>
        </w:tabs>
        <w:spacing w:lineRule="auto" w:line="240" w:before="57" w:after="57"/>
        <w:ind w:left="0"/>
        <w:contextualSpacing w:val="false"/>
        <w:jc w:val="both"/>
        <w:rPr>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40" w:before="57" w:after="57"/>
        <w:ind w:left="0"/>
        <w:contextualSpacing w:val="false"/>
        <w:jc w:val="both"/>
        <w:rPr>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20"/>
          <w:tab w:val="left" w:pos="-12" w:leader="none"/>
        </w:tabs>
        <w:spacing w:lineRule="auto" w:line="240" w:before="57" w:after="57"/>
        <w:ind w:left="0"/>
        <w:contextualSpacing w:val="false"/>
        <w:jc w:val="both"/>
        <w:rPr>
          <w:rFonts w:cs="Arial"/>
          <w:color w:val="000000"/>
          <w:sz w:val="20"/>
          <w:szCs w:val="20"/>
        </w:rPr>
      </w:pPr>
      <w:r>
        <w:rPr>
          <w:rFonts w:cs="Arial"/>
          <w:color w:val="000000"/>
          <w:sz w:val="20"/>
          <w:szCs w:val="20"/>
        </w:rPr>
      </w:r>
    </w:p>
    <w:p>
      <w:pPr>
        <w:pStyle w:val="Nivel01"/>
        <w:numPr>
          <w:ilvl w:val="0"/>
          <w:numId w:val="2"/>
        </w:numPr>
        <w:tabs>
          <w:tab w:val="clear" w:pos="567"/>
          <w:tab w:val="left" w:pos="517" w:leader="none"/>
        </w:tabs>
        <w:spacing w:lineRule="auto" w:line="240" w:before="57" w:after="57"/>
        <w:ind w:hanging="0" w:left="0"/>
        <w:rPr>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20"/>
          <w:tab w:val="left" w:pos="517" w:leader="none"/>
        </w:tabs>
        <w:spacing w:lineRule="auto" w:line="240" w:before="57" w:after="57"/>
        <w:ind w:hanging="0" w:left="0"/>
        <w:contextualSpacing w:val="false"/>
        <w:jc w:val="both"/>
        <w:rPr/>
      </w:pPr>
      <w:bookmarkStart w:id="10"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Style6"/>
          <w:rFonts w:cs="Arial" w:ascii="Verdana" w:hAnsi="Verdana"/>
          <w:color w:val="000080"/>
          <w:sz w:val="20"/>
          <w:szCs w:val="20"/>
          <w:u w:val="single"/>
        </w:rPr>
        <w:instrText xml:space="preserve"> HYPERLINK "http://www.planalto.gov.br/ccivil_03/_ato2019-2022/2021/lei/L14133.htm" \l "art14"</w:instrText>
      </w:r>
      <w:r>
        <w:rPr>
          <w:rStyle w:val="Style6"/>
          <w:rFonts w:cs="Arial" w:ascii="Verdana" w:hAnsi="Verdana"/>
          <w:color w:val="000080"/>
          <w:sz w:val="20"/>
          <w:szCs w:val="20"/>
          <w:u w:val="single"/>
        </w:rPr>
        <w:fldChar w:fldCharType="separate"/>
      </w:r>
      <w:r>
        <w:rPr>
          <w:rStyle w:val="Style6"/>
          <w:rFonts w:cs="Arial" w:ascii="Verdana" w:hAnsi="Verdana"/>
          <w:color w:val="000080"/>
          <w:sz w:val="20"/>
          <w:szCs w:val="20"/>
          <w:u w:val="single"/>
        </w:rPr>
        <w:t>art. 14 da Lei nº 14.133/2021</w:t>
      </w:r>
      <w:r>
        <w:rPr>
          <w:rStyle w:val="Style6"/>
          <w:rFonts w:cs="Arial" w:ascii="Verdana" w:hAnsi="Verdana"/>
          <w:color w:val="000080"/>
          <w:sz w:val="20"/>
          <w:szCs w:val="20"/>
          <w:u w:val="single"/>
        </w:rPr>
        <w:fldChar w:fldCharType="end"/>
      </w:r>
      <w:r>
        <w:rPr>
          <w:rFonts w:cs="Arial" w:ascii="Verdana" w:hAnsi="Verdana"/>
          <w:color w:val="000000"/>
          <w:sz w:val="20"/>
          <w:szCs w:val="20"/>
        </w:rPr>
        <w:t xml:space="preserve">, legislação correlata e no item 4.3.12 do edital, </w:t>
      </w:r>
      <w:bookmarkEnd w:id="10"/>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color w:val="000000"/>
          <w:sz w:val="20"/>
          <w:szCs w:val="20"/>
        </w:rPr>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Style6"/>
          <w:rFonts w:cs="Arial" w:ascii="Verdana" w:hAnsi="Verdana"/>
          <w:color w:val="000080"/>
          <w:sz w:val="20"/>
          <w:szCs w:val="20"/>
          <w:u w:val="single"/>
        </w:rPr>
        <w:instrText xml:space="preserve"> HYPERLINK "https://www.gov.br/compras/pt-br/acesso-a-informacao/legislacao/instrucoes-normativas/instrucao-normativa-seges-me-no-73-de-30-de-setembro-de-2022" \l "art29"</w:instrText>
      </w:r>
      <w:r>
        <w:rPr>
          <w:rStyle w:val="Style6"/>
          <w:rFonts w:cs="Arial" w:ascii="Verdana" w:hAnsi="Verdana"/>
          <w:color w:val="000080"/>
          <w:sz w:val="20"/>
          <w:szCs w:val="20"/>
          <w:u w:val="single"/>
        </w:rPr>
        <w:fldChar w:fldCharType="separate"/>
      </w:r>
      <w:r>
        <w:rPr>
          <w:rStyle w:val="Style6"/>
          <w:rFonts w:cs="Arial" w:ascii="Verdana" w:hAnsi="Verdana"/>
          <w:color w:val="000080"/>
          <w:sz w:val="20"/>
          <w:szCs w:val="20"/>
          <w:u w:val="single"/>
        </w:rPr>
        <w:t>artigo 29 a 35 da IN SEGES nº 73, de 30 de setembro de 2022</w:t>
      </w:r>
      <w:r>
        <w:rPr>
          <w:rStyle w:val="Style6"/>
          <w:rFonts w:cs="Arial" w:ascii="Verdana" w:hAnsi="Verdana"/>
          <w:color w:val="000080"/>
          <w:sz w:val="20"/>
          <w:szCs w:val="20"/>
          <w:u w:val="single"/>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8.4.1 não estiverem em conformidade com os requisitos estabelecidos neste edital;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8.4.2 contenha vício insanável ou ilegalidade;</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8.5.4 rubricas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 xml:space="preserve">8.5.5 rubricas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40" w:before="57" w:after="57"/>
        <w:ind w:hanging="0" w:left="0"/>
        <w:jc w:val="both"/>
        <w:rPr>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40" w:before="57" w:after="57"/>
        <w:ind w:hanging="0" w:left="0"/>
        <w:jc w:val="both"/>
        <w:rPr>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40" w:before="57" w:after="57"/>
        <w:ind w:hanging="0" w:left="0"/>
        <w:jc w:val="both"/>
        <w:rPr>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40" w:before="57" w:after="57"/>
        <w:ind w:hanging="0" w:left="0"/>
        <w:jc w:val="both"/>
        <w:rPr>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sz w:val="20"/>
          <w:szCs w:val="20"/>
        </w:rPr>
      </w:pPr>
      <w:r>
        <w:rPr>
          <w:rFonts w:ascii="Verdana" w:hAnsi="Verdana"/>
          <w:sz w:val="20"/>
          <w:szCs w:val="20"/>
        </w:rPr>
        <w:t>8.9.1 As propostas com preços próximos ou inferiores ao mínimo estabelecido pela Prefeitura Municipal de São Gabriel da Palha, disponibilizado em meio eletrônico, no Portal de Compras Públicas (http://</w:t>
      </w:r>
      <w:bookmarkStart w:id="11" w:name="_Hlk123138684_Copia_2"/>
      <w:r>
        <w:rPr>
          <w:rFonts w:cs="Arial" w:ascii="Verdana" w:hAnsi="Verdana"/>
          <w:color w:val="000000"/>
          <w:sz w:val="20"/>
          <w:szCs w:val="20"/>
        </w:rPr>
        <w:t>www.portaldecompraspublicas.com.br</w:t>
      </w:r>
      <w:bookmarkEnd w:id="11"/>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left="0"/>
        <w:contextualSpacing w:val="false"/>
        <w:jc w:val="both"/>
        <w:rPr>
          <w:sz w:val="20"/>
          <w:szCs w:val="20"/>
        </w:rPr>
      </w:pPr>
      <w:r>
        <w:rPr>
          <w:rFonts w:cs="Arial" w:ascii="Verdana" w:hAnsi="Verdana"/>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left="0"/>
        <w:contextualSpacing w:val="false"/>
        <w:jc w:val="both"/>
        <w:rPr>
          <w:sz w:val="20"/>
          <w:szCs w:val="20"/>
        </w:rPr>
      </w:pPr>
      <w:r>
        <w:rPr>
          <w:rFonts w:cs="Arial" w:ascii="Verdana" w:hAnsi="Verdana"/>
          <w:color w:val="000000"/>
          <w:sz w:val="20"/>
          <w:szCs w:val="20"/>
          <w:lang w:eastAsia="en-US"/>
        </w:rPr>
        <w:t>8.11.1 É facultado ao pregoeiro prorrogar o prazo estabelecido, a partir de solicitação fundamentada feita no chat pelo licitante, antes de findo o prazo.</w:t>
      </w:r>
    </w:p>
    <w:p>
      <w:pPr>
        <w:pStyle w:val="ListParagraph"/>
        <w:spacing w:lineRule="auto" w:line="240" w:before="57" w:after="57"/>
        <w:ind w:left="0"/>
        <w:contextualSpacing w:val="false"/>
        <w:jc w:val="both"/>
        <w:rPr>
          <w:sz w:val="20"/>
          <w:szCs w:val="20"/>
        </w:rPr>
      </w:pPr>
      <w:r>
        <w:rPr>
          <w:rFonts w:cs="Arial" w:ascii="Verdana" w:hAnsi="Verdana"/>
          <w:sz w:val="20"/>
          <w:szCs w:val="20"/>
          <w:lang w:eastAsia="en-US"/>
        </w:rPr>
        <w:t>8.11.2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sz w:val="20"/>
          <w:szCs w:val="20"/>
        </w:rPr>
      </w:pPr>
      <w:r>
        <w:rPr>
          <w:rFonts w:cs="Arial" w:ascii="Verdana" w:hAnsi="Verdana"/>
          <w:color w:val="000000"/>
          <w:sz w:val="20"/>
          <w:szCs w:val="20"/>
        </w:rPr>
        <w:t xml:space="preserve"> </w:t>
      </w: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jc w:val="both"/>
        <w:rPr>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57" w:after="57"/>
        <w:ind w:hanging="0" w:left="0"/>
        <w:jc w:val="both"/>
        <w:rPr>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57" w:after="57"/>
        <w:jc w:val="both"/>
        <w:rPr>
          <w:rFonts w:cs="Arial"/>
          <w:color w:val="000000"/>
          <w:sz w:val="20"/>
          <w:szCs w:val="20"/>
        </w:rPr>
      </w:pPr>
      <w:r>
        <w:rPr>
          <w:rFonts w:cs="Arial"/>
          <w:color w:val="000000"/>
          <w:sz w:val="20"/>
          <w:szCs w:val="20"/>
        </w:rPr>
      </w:r>
    </w:p>
    <w:p>
      <w:pPr>
        <w:pStyle w:val="Nivel01"/>
        <w:numPr>
          <w:ilvl w:val="0"/>
          <w:numId w:val="2"/>
        </w:numPr>
        <w:spacing w:lineRule="auto" w:line="240" w:before="57" w:after="57"/>
        <w:ind w:hanging="0" w:left="0"/>
        <w:rPr>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val="false"/>
        <w:jc w:val="both"/>
        <w:rPr>
          <w:sz w:val="20"/>
          <w:szCs w:val="20"/>
        </w:rPr>
      </w:pPr>
      <w:r>
        <w:rPr>
          <w:rFonts w:cs="Arial" w:ascii="Verdana" w:hAnsi="Verdana"/>
          <w:sz w:val="20"/>
          <w:szCs w:val="20"/>
          <w:lang w:eastAsia="ar-SA"/>
        </w:rPr>
        <w:t>a) SICAF;</w:t>
      </w:r>
    </w:p>
    <w:p>
      <w:pPr>
        <w:pStyle w:val="ListParagraph"/>
        <w:spacing w:lineRule="auto" w:line="240"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Style6"/>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Style6"/>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0"/>
        <w:contextualSpacing w:val="false"/>
        <w:jc w:val="both"/>
        <w:rPr>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Style6"/>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Style6"/>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left="0"/>
        <w:contextualSpacing w:val="false"/>
        <w:jc w:val="both"/>
        <w:rPr>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left="0"/>
        <w:contextualSpacing w:val="false"/>
        <w:jc w:val="both"/>
        <w:rPr>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left="0"/>
        <w:contextualSpacing w:val="false"/>
        <w:jc w:val="both"/>
        <w:rPr>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40" w:before="57" w:after="57"/>
        <w:ind w:hanging="0" w:left="0"/>
        <w:contextualSpacing w:val="false"/>
        <w:jc w:val="both"/>
        <w:rPr>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sz w:val="20"/>
          <w:szCs w:val="2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sz w:val="20"/>
          <w:szCs w:val="20"/>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sz w:val="20"/>
          <w:szCs w:val="20"/>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sz w:val="20"/>
          <w:szCs w:val="20"/>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Style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40" w:before="57" w:after="57"/>
        <w:ind w:hanging="0" w:left="0"/>
        <w:jc w:val="both"/>
        <w:rPr>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40" w:before="57" w:after="57"/>
        <w:ind w:hanging="0" w:left="0"/>
        <w:jc w:val="both"/>
        <w:rPr>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40" w:before="57" w:after="57"/>
        <w:ind w:hanging="0" w:left="0"/>
        <w:jc w:val="both"/>
        <w:rPr>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40" w:before="57" w:after="57"/>
        <w:ind w:hanging="0" w:left="0"/>
        <w:jc w:val="both"/>
        <w:rPr>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20"/>
          <w:tab w:val="left" w:pos="617" w:leader="none"/>
        </w:tabs>
        <w:snapToGrid w:val="false"/>
        <w:spacing w:lineRule="auto" w:line="240" w:before="57" w:after="57"/>
        <w:ind w:hanging="0" w:left="0"/>
        <w:contextualSpacing w:val="false"/>
        <w:jc w:val="both"/>
        <w:rPr>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20"/>
          <w:tab w:val="left" w:pos="617" w:leader="none"/>
        </w:tabs>
        <w:snapToGrid w:val="false"/>
        <w:spacing w:lineRule="auto" w:line="240" w:before="57" w:after="57"/>
        <w:ind w:hanging="0" w:left="0"/>
        <w:contextualSpacing w:val="false"/>
        <w:jc w:val="both"/>
        <w:rPr>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20"/>
          <w:tab w:val="left" w:pos="850" w:leader="none"/>
        </w:tabs>
        <w:spacing w:lineRule="auto" w:line="240" w:before="57" w:after="57"/>
        <w:ind w:hanging="0" w:left="0"/>
        <w:contextualSpacing w:val="false"/>
        <w:jc w:val="both"/>
        <w:rPr>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20"/>
          <w:tab w:val="left" w:pos="517" w:leader="none"/>
        </w:tabs>
        <w:spacing w:lineRule="auto" w:line="240" w:before="57" w:after="57"/>
        <w:ind w:hanging="0" w:left="0"/>
        <w:contextualSpacing w:val="false"/>
        <w:jc w:val="both"/>
        <w:rPr>
          <w:sz w:val="20"/>
          <w:szCs w:val="20"/>
        </w:rPr>
      </w:pPr>
      <w:r>
        <w:rPr>
          <w:rFonts w:cs="Arial" w:ascii="Verdana" w:hAnsi="Verdana"/>
          <w:bCs/>
          <w:color w:val="000000"/>
          <w:sz w:val="20"/>
          <w:szCs w:val="20"/>
        </w:rPr>
        <w:t>Constatado o atendimento às exigências de habilitação fixadas no Edital, o licitante será declarado vencedor.</w:t>
      </w:r>
    </w:p>
    <w:p>
      <w:pPr>
        <w:pStyle w:val="ListParagraph"/>
        <w:tabs>
          <w:tab w:val="clear" w:pos="720"/>
          <w:tab w:val="left" w:pos="517" w:leader="none"/>
        </w:tabs>
        <w:spacing w:lineRule="auto" w:line="240" w:before="57" w:after="57"/>
        <w:ind w:left="0"/>
        <w:contextualSpacing w:val="false"/>
        <w:jc w:val="both"/>
        <w:rPr>
          <w:rFonts w:cs="Arial"/>
          <w:color w:val="000000"/>
          <w:sz w:val="20"/>
          <w:szCs w:val="20"/>
        </w:rPr>
      </w:pPr>
      <w:r>
        <w:rPr>
          <w:rFonts w:cs="Arial"/>
          <w:color w:val="000000"/>
          <w:sz w:val="20"/>
          <w:szCs w:val="20"/>
        </w:rPr>
      </w:r>
    </w:p>
    <w:p>
      <w:pPr>
        <w:pStyle w:val="Nivel01"/>
        <w:numPr>
          <w:ilvl w:val="0"/>
          <w:numId w:val="2"/>
        </w:numPr>
        <w:spacing w:lineRule="auto" w:line="240" w:before="57" w:after="57"/>
        <w:ind w:hanging="0" w:left="0"/>
        <w:rPr>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20"/>
          <w:tab w:val="left" w:pos="617" w:leader="none"/>
        </w:tabs>
        <w:spacing w:lineRule="auto" w:line="240" w:before="57" w:after="57"/>
        <w:ind w:hanging="0" w:left="0"/>
        <w:contextualSpacing w:val="false"/>
        <w:jc w:val="both"/>
        <w:rPr>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40" w:before="57" w:after="57"/>
        <w:ind w:hanging="0" w:left="0"/>
        <w:jc w:val="both"/>
        <w:rPr>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40" w:before="57" w:after="57"/>
        <w:ind w:hanging="0" w:left="0"/>
        <w:jc w:val="both"/>
        <w:rPr>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40" w:before="57" w:after="57"/>
        <w:ind w:hanging="0" w:left="0"/>
        <w:jc w:val="both"/>
        <w:rPr>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40" w:before="57" w:after="57"/>
        <w:ind w:hanging="0" w:left="0"/>
        <w:jc w:val="both"/>
        <w:rPr>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40" w:before="57" w:after="57"/>
        <w:ind w:hanging="0" w:left="0"/>
        <w:jc w:val="both"/>
        <w:rPr>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ivel01"/>
        <w:numPr>
          <w:ilvl w:val="0"/>
          <w:numId w:val="2"/>
        </w:numPr>
        <w:spacing w:lineRule="auto" w:line="240" w:before="57" w:after="57"/>
        <w:ind w:hanging="0" w:left="0"/>
        <w:rPr>
          <w:sz w:val="20"/>
          <w:szCs w:val="20"/>
        </w:rPr>
      </w:pPr>
      <w:r>
        <w:rPr>
          <w:rFonts w:cs="Arial" w:ascii="Verdana" w:hAnsi="Verdana"/>
          <w:sz w:val="20"/>
          <w:szCs w:val="20"/>
          <w:lang w:eastAsia="en-US"/>
        </w:rPr>
        <w:t>DOS RECURSOS</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40" w:before="57" w:after="57"/>
        <w:ind w:hanging="0" w:left="0"/>
        <w:jc w:val="both"/>
        <w:rPr>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40" w:before="57" w:after="57"/>
        <w:ind w:hanging="0" w:left="0"/>
        <w:jc w:val="both"/>
        <w:rPr>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40" w:before="57" w:after="57"/>
        <w:ind w:hanging="0" w:left="0"/>
        <w:jc w:val="both"/>
        <w:rPr>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57" w:after="57"/>
        <w:ind w:left="0"/>
        <w:contextualSpacing w:val="false"/>
        <w:jc w:val="both"/>
        <w:rPr>
          <w:rFonts w:cs="Arial"/>
          <w:color w:val="000000"/>
          <w:sz w:val="20"/>
          <w:szCs w:val="20"/>
        </w:rPr>
      </w:pPr>
      <w:r>
        <w:rPr>
          <w:rFonts w:cs="Arial"/>
          <w:color w:val="000000"/>
          <w:sz w:val="20"/>
          <w:szCs w:val="20"/>
        </w:rPr>
      </w:r>
    </w:p>
    <w:p>
      <w:pPr>
        <w:pStyle w:val="Nivel01"/>
        <w:numPr>
          <w:ilvl w:val="0"/>
          <w:numId w:val="2"/>
        </w:numPr>
        <w:spacing w:lineRule="auto" w:line="240" w:before="57" w:after="57"/>
        <w:ind w:hanging="0" w:left="0"/>
        <w:rPr>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57" w:after="57"/>
        <w:ind w:hanging="0" w:left="0"/>
        <w:rPr>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850" w:leader="none"/>
        </w:tabs>
        <w:spacing w:lineRule="auto" w:line="240" w:before="57" w:after="57"/>
        <w:ind w:hanging="0" w:left="0"/>
        <w:rPr>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850" w:leader="none"/>
        </w:tabs>
        <w:spacing w:lineRule="auto" w:line="240" w:before="57" w:after="57"/>
        <w:ind w:hanging="0" w:left="0"/>
        <w:rPr>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850" w:leader="none"/>
        </w:tabs>
        <w:spacing w:lineRule="auto" w:line="240" w:before="57" w:after="57"/>
        <w:ind w:hanging="0" w:left="0"/>
        <w:rPr>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850" w:leader="none"/>
        </w:tabs>
        <w:spacing w:lineRule="auto" w:line="240" w:before="57" w:after="57"/>
        <w:ind w:hanging="0" w:left="0"/>
        <w:rPr>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tabs>
          <w:tab w:val="clear" w:pos="720"/>
          <w:tab w:val="left" w:pos="567" w:leader="none"/>
          <w:tab w:val="left" w:pos="850" w:leader="none"/>
        </w:tabs>
        <w:spacing w:lineRule="auto" w:line="240"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40" w:before="57" w:after="57"/>
        <w:ind w:hanging="0" w:left="0"/>
        <w:rPr>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contextualSpacing w:val="false"/>
        <w:jc w:val="both"/>
        <w:rPr>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113" w:after="113"/>
        <w:ind w:hanging="0" w:left="57" w:right="57"/>
        <w:rPr>
          <w:sz w:val="20"/>
          <w:szCs w:val="20"/>
        </w:rPr>
      </w:pPr>
      <w:r>
        <w:rPr>
          <w:rFonts w:cs="Arial" w:ascii="Verdana" w:hAnsi="Verdana"/>
          <w:color w:val="auto"/>
          <w:sz w:val="20"/>
          <w:szCs w:val="20"/>
        </w:rPr>
        <w:t xml:space="preserve">DA GARANTIA DE EXECUÇÃO </w:t>
      </w:r>
    </w:p>
    <w:p>
      <w:pPr>
        <w:pStyle w:val="ListParagraph"/>
        <w:numPr>
          <w:ilvl w:val="1"/>
          <w:numId w:val="2"/>
        </w:numPr>
        <w:spacing w:lineRule="auto" w:line="240" w:before="113" w:after="113"/>
        <w:ind w:hanging="0" w:left="57" w:right="57"/>
        <w:contextualSpacing w:val="false"/>
        <w:jc w:val="both"/>
        <w:rPr>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20"/>
          <w:tab w:val="left" w:pos="850" w:leader="none"/>
        </w:tabs>
        <w:spacing w:lineRule="auto" w:line="240" w:before="113" w:after="113"/>
        <w:ind w:hanging="0" w:left="57" w:right="57"/>
        <w:contextualSpacing w:val="false"/>
        <w:jc w:val="both"/>
        <w:rPr>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20"/>
          <w:tab w:val="left" w:pos="850" w:leader="none"/>
        </w:tabs>
        <w:spacing w:lineRule="auto" w:line="240" w:before="113" w:after="113"/>
        <w:ind w:hanging="0" w:left="57" w:right="57"/>
        <w:contextualSpacing w:val="false"/>
        <w:jc w:val="both"/>
        <w:rPr>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40" w:before="57" w:after="57"/>
        <w:ind w:left="0"/>
        <w:contextualSpacing w:val="false"/>
        <w:jc w:val="both"/>
        <w:rPr>
          <w:sz w:val="20"/>
          <w:szCs w:val="20"/>
        </w:rPr>
      </w:pPr>
      <w:r>
        <w:rPr>
          <w:rFonts w:cs="Arial" w:ascii="Verdana" w:hAnsi="Verdana"/>
          <w:b/>
          <w:bCs/>
          <w:sz w:val="20"/>
          <w:szCs w:val="20"/>
        </w:rPr>
        <w:t>15 DA ATA DE REGISTRO DE PREÇOS</w:t>
      </w:r>
    </w:p>
    <w:p>
      <w:pPr>
        <w:pStyle w:val="ListParagraph"/>
        <w:tabs>
          <w:tab w:val="clear" w:pos="720"/>
          <w:tab w:val="left" w:pos="850" w:leader="none"/>
        </w:tabs>
        <w:spacing w:lineRule="auto" w:line="240" w:before="113" w:after="113"/>
        <w:ind w:left="57" w:right="57"/>
        <w:contextualSpacing w:val="false"/>
        <w:jc w:val="both"/>
        <w:rPr>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20"/>
          <w:tab w:val="left" w:pos="850" w:leader="none"/>
        </w:tabs>
        <w:spacing w:lineRule="auto" w:line="240" w:before="113" w:after="113"/>
        <w:ind w:left="57" w:right="57"/>
        <w:contextualSpacing w:val="false"/>
        <w:jc w:val="both"/>
        <w:rPr>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20"/>
          <w:tab w:val="left" w:pos="850" w:leader="none"/>
        </w:tabs>
        <w:spacing w:lineRule="auto" w:line="240" w:before="113" w:after="113"/>
        <w:ind w:left="57" w:right="57"/>
        <w:contextualSpacing w:val="false"/>
        <w:jc w:val="both"/>
        <w:rPr>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20"/>
          <w:tab w:val="left" w:pos="850" w:leader="none"/>
        </w:tabs>
        <w:spacing w:lineRule="auto" w:line="240" w:before="113" w:after="113"/>
        <w:ind w:left="57" w:right="57"/>
        <w:contextualSpacing w:val="false"/>
        <w:jc w:val="both"/>
        <w:rPr>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20"/>
          <w:tab w:val="left" w:pos="850" w:leader="none"/>
        </w:tabs>
        <w:spacing w:lineRule="auto" w:line="240" w:before="113" w:after="113"/>
        <w:ind w:left="57" w:right="57"/>
        <w:contextualSpacing w:val="false"/>
        <w:jc w:val="both"/>
        <w:rPr>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ind w:hanging="0" w:left="0"/>
        <w:rPr>
          <w:sz w:val="20"/>
          <w:szCs w:val="20"/>
        </w:rPr>
      </w:pPr>
      <w:r>
        <w:rPr>
          <w:rFonts w:eastAsia="Segoe UI" w:cs="Arial" w:ascii="Verdana" w:hAnsi="Verdana"/>
          <w:bCs/>
          <w:color w:val="000000"/>
          <w:sz w:val="20"/>
          <w:szCs w:val="2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20"/>
          <w:tab w:val="left" w:pos="850" w:leader="none"/>
        </w:tabs>
        <w:spacing w:lineRule="auto" w:line="240" w:before="57" w:after="57"/>
        <w:ind w:left="0"/>
        <w:contextualSpacing w:val="false"/>
        <w:jc w:val="both"/>
        <w:rPr>
          <w:rFonts w:ascii="Verdana" w:hAnsi="Verdana"/>
          <w:bCs/>
          <w:sz w:val="20"/>
          <w:szCs w:val="20"/>
        </w:rPr>
      </w:pPr>
      <w:r>
        <w:rPr>
          <w:rFonts w:ascii="Verdana" w:hAnsi="Verdana"/>
          <w:bCs/>
          <w:sz w:val="20"/>
          <w:szCs w:val="20"/>
        </w:rPr>
      </w:r>
    </w:p>
    <w:p>
      <w:pPr>
        <w:pStyle w:val="Nivel01"/>
        <w:spacing w:lineRule="auto" w:line="240" w:before="57" w:after="57"/>
        <w:rPr>
          <w:sz w:val="20"/>
          <w:szCs w:val="20"/>
        </w:rPr>
      </w:pPr>
      <w:r>
        <w:rPr>
          <w:rFonts w:cs="Arial" w:ascii="Verdana" w:hAnsi="Verdana"/>
          <w:sz w:val="20"/>
          <w:szCs w:val="20"/>
        </w:rPr>
        <w:t>16. DO REAJUSTAMENTO EM SENTIDO GERAL</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sz w:val="20"/>
          <w:szCs w:val="20"/>
        </w:rPr>
      </w:pPr>
      <w:r>
        <w:rPr>
          <w:rFonts w:cs="Arial" w:ascii="Verdana" w:hAnsi="Verdana"/>
          <w:sz w:val="20"/>
          <w:szCs w:val="20"/>
        </w:rPr>
        <w:t>17. DA ACEITAÇÃO DO OBJETO E DA FISCALIZAÇÃO</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lang w:eastAsia="en-US"/>
        </w:rPr>
        <w:t>16.1 Os critérios de recebimento e aceitação do objeto e de fiscalização estão previstos no Termo de Referência e Minuta de Contrato anexo a este edital.</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sz w:val="20"/>
          <w:szCs w:val="20"/>
        </w:rPr>
      </w:pPr>
      <w:r>
        <w:rPr>
          <w:rFonts w:cs="Arial" w:ascii="Verdana" w:hAnsi="Verdana"/>
          <w:sz w:val="20"/>
          <w:szCs w:val="20"/>
          <w:lang w:eastAsia="en-US"/>
        </w:rPr>
        <w:t>18. DAS OBRIGAÇÕES DA CONTRATANTE E DA CONTRATADA</w:t>
      </w:r>
    </w:p>
    <w:p>
      <w:pPr>
        <w:pStyle w:val="ListParagraph"/>
        <w:spacing w:lineRule="auto" w:line="240" w:before="57" w:after="57"/>
        <w:ind w:left="0"/>
        <w:contextualSpacing w:val="false"/>
        <w:jc w:val="both"/>
        <w:rPr>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sz w:val="20"/>
          <w:szCs w:val="20"/>
        </w:rPr>
      </w:pPr>
      <w:r>
        <w:rPr>
          <w:rFonts w:cs="Tahoma" w:ascii="Verdana" w:hAnsi="Verdana"/>
          <w:color w:val="auto"/>
          <w:sz w:val="20"/>
          <w:szCs w:val="20"/>
        </w:rPr>
        <w:t>19</w:t>
      </w:r>
      <w:r>
        <w:rPr>
          <w:rFonts w:cs="Arial" w:ascii="Verdana" w:hAnsi="Verdana"/>
          <w:sz w:val="20"/>
          <w:szCs w:val="20"/>
        </w:rPr>
        <w:t>. DO PAGAMENTO</w:t>
      </w:r>
    </w:p>
    <w:p>
      <w:pPr>
        <w:pStyle w:val="ListParagraph"/>
        <w:spacing w:lineRule="auto" w:line="240" w:before="57" w:after="57"/>
        <w:ind w:left="0"/>
        <w:contextualSpacing w:val="false"/>
        <w:jc w:val="both"/>
        <w:rPr>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Contrato anexo a este edital.</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sz w:val="20"/>
          <w:szCs w:val="20"/>
        </w:rPr>
      </w:pPr>
      <w:r>
        <w:rPr>
          <w:rFonts w:cs="Arial" w:ascii="Verdana" w:hAnsi="Verdana"/>
          <w:sz w:val="20"/>
          <w:szCs w:val="20"/>
        </w:rPr>
        <w:t>20. DAS SANÇÕES ADMINISTRATIVAS.</w:t>
      </w:r>
    </w:p>
    <w:p>
      <w:pPr>
        <w:pStyle w:val="ListParagraph"/>
        <w:spacing w:lineRule="auto" w:line="240" w:before="57" w:after="57"/>
        <w:ind w:left="0"/>
        <w:contextualSpacing w:val="false"/>
        <w:jc w:val="both"/>
        <w:rPr>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40" w:before="57" w:after="57"/>
        <w:jc w:val="both"/>
        <w:rPr>
          <w:sz w:val="20"/>
          <w:szCs w:val="20"/>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20"/>
          <w:tab w:val="left" w:pos="850" w:leader="none"/>
          <w:tab w:val="left" w:pos="1440" w:leader="none"/>
        </w:tabs>
        <w:snapToGrid w:val="false"/>
        <w:spacing w:lineRule="auto" w:line="240" w:before="57" w:after="57"/>
        <w:jc w:val="both"/>
        <w:rPr>
          <w:sz w:val="20"/>
          <w:szCs w:val="20"/>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20"/>
          <w:tab w:val="left" w:pos="850" w:leader="none"/>
          <w:tab w:val="left" w:pos="1440" w:leader="none"/>
        </w:tabs>
        <w:snapToGrid w:val="false"/>
        <w:spacing w:lineRule="auto" w:line="240" w:before="57" w:after="57"/>
        <w:jc w:val="both"/>
        <w:rPr>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lineRule="auto" w:line="240" w:before="57" w:after="57"/>
        <w:jc w:val="both"/>
        <w:rPr>
          <w:sz w:val="20"/>
          <w:szCs w:val="20"/>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lineRule="auto" w:line="240" w:before="57" w:after="57"/>
        <w:jc w:val="both"/>
        <w:rPr>
          <w:sz w:val="20"/>
          <w:szCs w:val="20"/>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lineRule="auto" w:line="240" w:before="57" w:after="57"/>
        <w:jc w:val="both"/>
        <w:rPr>
          <w:sz w:val="20"/>
          <w:szCs w:val="20"/>
        </w:rPr>
      </w:pPr>
      <w:r>
        <w:rPr>
          <w:rFonts w:cs="Arial" w:ascii="Verdana" w:hAnsi="Verdana"/>
          <w:sz w:val="20"/>
          <w:szCs w:val="20"/>
          <w:shd w:fill="FFFFFF" w:val="clear"/>
        </w:rPr>
        <w:t>20.1.2.4 Deixar de apresentar amostra;</w:t>
      </w:r>
    </w:p>
    <w:p>
      <w:pPr>
        <w:pStyle w:val="Normal"/>
        <w:tabs>
          <w:tab w:val="clear" w:pos="720"/>
          <w:tab w:val="left" w:pos="850" w:leader="none"/>
          <w:tab w:val="left" w:pos="1440" w:leader="none"/>
        </w:tabs>
        <w:snapToGrid w:val="false"/>
        <w:spacing w:lineRule="auto" w:line="240" w:before="57" w:after="57"/>
        <w:jc w:val="both"/>
        <w:rPr>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20"/>
          <w:tab w:val="left" w:pos="850" w:leader="none"/>
          <w:tab w:val="left" w:pos="1440" w:leader="none"/>
        </w:tabs>
        <w:snapToGrid w:val="false"/>
        <w:spacing w:lineRule="auto" w:line="240" w:before="57" w:after="57"/>
        <w:jc w:val="both"/>
        <w:rPr>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jc w:val="both"/>
        <w:rPr>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sz w:val="20"/>
          <w:szCs w:val="20"/>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40" w:before="57" w:after="57"/>
        <w:jc w:val="both"/>
        <w:rPr>
          <w:sz w:val="20"/>
          <w:szCs w:val="20"/>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40" w:before="57" w:after="57"/>
        <w:jc w:val="both"/>
        <w:rPr>
          <w:sz w:val="20"/>
          <w:szCs w:val="20"/>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40" w:before="57" w:after="57"/>
        <w:jc w:val="both"/>
        <w:rPr>
          <w:sz w:val="20"/>
          <w:szCs w:val="20"/>
        </w:rPr>
      </w:pPr>
      <w:r>
        <w:rPr>
          <w:rFonts w:ascii="Verdana" w:hAnsi="Verdana"/>
          <w:sz w:val="20"/>
          <w:szCs w:val="20"/>
        </w:rPr>
        <w:t>20.1.6.1 Agir em conluio ou em desconformidade com a lei;</w:t>
      </w:r>
    </w:p>
    <w:p>
      <w:pPr>
        <w:pStyle w:val="Normal"/>
        <w:spacing w:lineRule="auto" w:line="240" w:before="57" w:after="57"/>
        <w:jc w:val="both"/>
        <w:rPr>
          <w:sz w:val="20"/>
          <w:szCs w:val="20"/>
        </w:rPr>
      </w:pPr>
      <w:r>
        <w:rPr>
          <w:rFonts w:ascii="Verdana" w:hAnsi="Verdana"/>
          <w:sz w:val="20"/>
          <w:szCs w:val="20"/>
        </w:rPr>
        <w:t>20.1.6.2 Induzir deliberadamente a erro no julgamento;</w:t>
      </w:r>
    </w:p>
    <w:p>
      <w:pPr>
        <w:pStyle w:val="Normal"/>
        <w:spacing w:lineRule="auto" w:line="240" w:before="57" w:after="57"/>
        <w:jc w:val="both"/>
        <w:rPr>
          <w:sz w:val="20"/>
          <w:szCs w:val="20"/>
        </w:rPr>
      </w:pPr>
      <w:r>
        <w:rPr>
          <w:rFonts w:ascii="Verdana" w:hAnsi="Verdana"/>
          <w:sz w:val="20"/>
          <w:szCs w:val="20"/>
        </w:rPr>
        <w:t>20.1.6.3 Apresentar amostra falsificada ou deteriorada;</w:t>
      </w:r>
    </w:p>
    <w:p>
      <w:pPr>
        <w:pStyle w:val="Normal"/>
        <w:spacing w:lineRule="auto" w:line="240" w:before="57" w:after="57"/>
        <w:jc w:val="both"/>
        <w:rPr>
          <w:sz w:val="20"/>
          <w:szCs w:val="20"/>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40" w:before="57" w:after="57"/>
        <w:jc w:val="both"/>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Style6"/>
          <w:rFonts w:ascii="Verdana" w:hAnsi="Verdana"/>
          <w:color w:val="000000"/>
          <w:sz w:val="20"/>
          <w:szCs w:val="20"/>
          <w:u w:val="none"/>
        </w:rPr>
        <w:instrText xml:space="preserve"> HYPERLINK "https://www.planalto.gov.br/ccivil_03/_ato2011-2014/2013/lei/l12846.htm" \l "art5"</w:instrText>
      </w:r>
      <w:r>
        <w:rPr>
          <w:rStyle w:val="Style6"/>
          <w:rFonts w:ascii="Verdana" w:hAnsi="Verdana"/>
          <w:color w:val="000000"/>
          <w:sz w:val="20"/>
          <w:szCs w:val="20"/>
          <w:u w:val="none"/>
        </w:rPr>
        <w:fldChar w:fldCharType="separate"/>
      </w:r>
      <w:r>
        <w:rPr>
          <w:rStyle w:val="Style6"/>
          <w:rFonts w:ascii="Verdana" w:hAnsi="Verdana"/>
          <w:color w:val="000000"/>
          <w:sz w:val="20"/>
          <w:szCs w:val="20"/>
          <w:u w:val="none"/>
        </w:rPr>
        <w:t>art. 5º da Lei n.º 12.846, de 2013</w:t>
      </w:r>
      <w:r>
        <w:rPr>
          <w:rStyle w:val="Style6"/>
          <w:rFonts w:ascii="Verdana" w:hAnsi="Verdana"/>
          <w:color w:val="000000"/>
          <w:sz w:val="20"/>
          <w:szCs w:val="20"/>
          <w:u w:val="none"/>
        </w:rPr>
        <w:fldChar w:fldCharType="end"/>
      </w:r>
      <w:r>
        <w:rPr>
          <w:rFonts w:ascii="Verdana" w:hAnsi="Verdana"/>
          <w:sz w:val="20"/>
          <w:szCs w:val="20"/>
        </w:rPr>
        <w:t>.</w:t>
      </w:r>
      <w:bookmarkEnd w:id="18"/>
    </w:p>
    <w:p>
      <w:pPr>
        <w:pStyle w:val="Nivel2"/>
        <w:numPr>
          <w:ilvl w:val="0"/>
          <w:numId w:val="0"/>
        </w:numPr>
        <w:spacing w:lineRule="auto" w:line="240"/>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ind w:hanging="0" w:left="0"/>
        <w:rPr>
          <w:sz w:val="20"/>
          <w:szCs w:val="20"/>
        </w:rPr>
      </w:pPr>
      <w:r>
        <w:rPr>
          <w:rFonts w:ascii="Verdana" w:hAnsi="Verdana"/>
          <w:sz w:val="20"/>
          <w:szCs w:val="20"/>
        </w:rPr>
        <w:t>20.2.1 advertência;</w:t>
      </w:r>
    </w:p>
    <w:p>
      <w:pPr>
        <w:pStyle w:val="Nivel2"/>
        <w:numPr>
          <w:ilvl w:val="0"/>
          <w:numId w:val="0"/>
        </w:numPr>
        <w:spacing w:lineRule="auto" w:line="240"/>
        <w:ind w:hanging="0" w:left="0"/>
        <w:rPr>
          <w:sz w:val="20"/>
          <w:szCs w:val="20"/>
        </w:rPr>
      </w:pPr>
      <w:r>
        <w:rPr>
          <w:rFonts w:ascii="Verdana" w:hAnsi="Verdana"/>
          <w:sz w:val="20"/>
          <w:szCs w:val="20"/>
        </w:rPr>
        <w:t>20.2.2 multa;</w:t>
      </w:r>
    </w:p>
    <w:p>
      <w:pPr>
        <w:pStyle w:val="Nivel2"/>
        <w:numPr>
          <w:ilvl w:val="0"/>
          <w:numId w:val="0"/>
        </w:numPr>
        <w:spacing w:lineRule="auto" w:line="240"/>
        <w:ind w:hanging="0" w:left="0"/>
        <w:rPr>
          <w:sz w:val="20"/>
          <w:szCs w:val="20"/>
        </w:rPr>
      </w:pPr>
      <w:r>
        <w:rPr>
          <w:rFonts w:ascii="Verdana" w:hAnsi="Verdana"/>
          <w:sz w:val="20"/>
          <w:szCs w:val="20"/>
        </w:rPr>
        <w:t>20.2.3 impedimento de licitar e contratar e</w:t>
      </w:r>
    </w:p>
    <w:p>
      <w:pPr>
        <w:pStyle w:val="Nivel2"/>
        <w:numPr>
          <w:ilvl w:val="0"/>
          <w:numId w:val="0"/>
        </w:numPr>
        <w:spacing w:lineRule="auto" w:line="240"/>
        <w:ind w:hanging="0" w:left="0"/>
        <w:rPr>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ind w:hanging="0" w:left="0"/>
        <w:rPr>
          <w:sz w:val="20"/>
          <w:szCs w:val="20"/>
        </w:rPr>
      </w:pPr>
      <w:r>
        <w:rPr>
          <w:rFonts w:ascii="Verdana" w:hAnsi="Verdana"/>
          <w:sz w:val="20"/>
          <w:szCs w:val="20"/>
        </w:rPr>
        <w:t>20.3 Na aplicação das sanções serão considerados:</w:t>
      </w:r>
    </w:p>
    <w:p>
      <w:pPr>
        <w:pStyle w:val="Nivel2"/>
        <w:numPr>
          <w:ilvl w:val="0"/>
          <w:numId w:val="0"/>
        </w:numPr>
        <w:spacing w:lineRule="auto" w:line="240"/>
        <w:ind w:hanging="0" w:left="0"/>
        <w:rPr>
          <w:sz w:val="20"/>
          <w:szCs w:val="20"/>
        </w:rPr>
      </w:pPr>
      <w:r>
        <w:rPr>
          <w:rFonts w:ascii="Verdana" w:hAnsi="Verdana"/>
          <w:sz w:val="20"/>
          <w:szCs w:val="20"/>
        </w:rPr>
        <w:t>20.3.1 a natureza e a gravidade da infração cometida.</w:t>
      </w:r>
    </w:p>
    <w:p>
      <w:pPr>
        <w:pStyle w:val="Nivel2"/>
        <w:numPr>
          <w:ilvl w:val="0"/>
          <w:numId w:val="0"/>
        </w:numPr>
        <w:spacing w:lineRule="auto" w:line="240"/>
        <w:ind w:hanging="0" w:left="0"/>
        <w:rPr>
          <w:sz w:val="20"/>
          <w:szCs w:val="20"/>
        </w:rPr>
      </w:pPr>
      <w:r>
        <w:rPr>
          <w:rFonts w:ascii="Verdana" w:hAnsi="Verdana"/>
          <w:sz w:val="20"/>
          <w:szCs w:val="20"/>
        </w:rPr>
        <w:t>20.3.2 as peculiaridades do caso concreto</w:t>
      </w:r>
    </w:p>
    <w:p>
      <w:pPr>
        <w:pStyle w:val="Nivel2"/>
        <w:numPr>
          <w:ilvl w:val="0"/>
          <w:numId w:val="0"/>
        </w:numPr>
        <w:spacing w:lineRule="auto" w:line="240"/>
        <w:ind w:hanging="0" w:left="0"/>
        <w:rPr>
          <w:sz w:val="20"/>
          <w:szCs w:val="20"/>
        </w:rPr>
      </w:pPr>
      <w:r>
        <w:rPr>
          <w:rFonts w:ascii="Verdana" w:hAnsi="Verdana"/>
          <w:sz w:val="20"/>
          <w:szCs w:val="20"/>
        </w:rPr>
        <w:t>20.3.3 as circunstâncias agravantes ou atenuantes</w:t>
      </w:r>
    </w:p>
    <w:p>
      <w:pPr>
        <w:pStyle w:val="Nivel2"/>
        <w:numPr>
          <w:ilvl w:val="0"/>
          <w:numId w:val="0"/>
        </w:numPr>
        <w:spacing w:lineRule="auto" w:line="240"/>
        <w:ind w:hanging="0" w:left="0"/>
        <w:rPr>
          <w:sz w:val="20"/>
          <w:szCs w:val="20"/>
        </w:rPr>
      </w:pPr>
      <w:r>
        <w:rPr>
          <w:rFonts w:ascii="Verdana" w:hAnsi="Verdana"/>
          <w:sz w:val="20"/>
          <w:szCs w:val="20"/>
        </w:rPr>
        <w:t>20.3.4 os danos que dela provierem para a Administração Pública</w:t>
      </w:r>
    </w:p>
    <w:p>
      <w:pPr>
        <w:pStyle w:val="Nivel2"/>
        <w:numPr>
          <w:ilvl w:val="0"/>
          <w:numId w:val="0"/>
        </w:numPr>
        <w:spacing w:lineRule="auto" w:line="240"/>
        <w:ind w:hanging="0" w:left="0"/>
        <w:rPr>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40"/>
        <w:ind w:hanging="0" w:left="0"/>
        <w:rPr>
          <w:sz w:val="20"/>
          <w:szCs w:val="20"/>
        </w:rPr>
      </w:pPr>
      <w:r>
        <w:rPr>
          <w:rFonts w:ascii="Verdana" w:hAnsi="Verdana"/>
          <w:sz w:val="20"/>
          <w:szCs w:val="20"/>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sz w:val="20"/>
          <w:szCs w:val="20"/>
        </w:rPr>
      </w:pPr>
      <w:r>
        <w:rPr>
          <w:rFonts w:ascii="Verdana" w:hAnsi="Verdana"/>
          <w:sz w:val="20"/>
          <w:szCs w:val="20"/>
        </w:rPr>
        <w:t xml:space="preserve">20.4.1 </w:t>
      </w:r>
      <w:bookmarkStart w:id="19" w:name="_Hlk113876035"/>
      <w:r>
        <w:rPr>
          <w:rFonts w:ascii="Verdana" w:hAnsi="Verdana"/>
          <w:sz w:val="20"/>
          <w:szCs w:val="20"/>
        </w:rPr>
        <w:t>Para as infrações previstas nos itens 20.1.1, 20.1.2 e 20.1.3, a multa será de 5% do valor do contrato licitado.</w:t>
      </w:r>
      <w:bookmarkEnd w:id="19"/>
    </w:p>
    <w:p>
      <w:pPr>
        <w:pStyle w:val="Nivel2"/>
        <w:numPr>
          <w:ilvl w:val="0"/>
          <w:numId w:val="0"/>
        </w:numPr>
        <w:spacing w:lineRule="auto" w:line="240"/>
        <w:ind w:hanging="0" w:left="0"/>
        <w:rPr>
          <w:sz w:val="20"/>
          <w:szCs w:val="20"/>
        </w:rPr>
      </w:pPr>
      <w:r>
        <w:rPr>
          <w:rFonts w:ascii="Verdana" w:hAnsi="Verdana"/>
          <w:sz w:val="20"/>
          <w:szCs w:val="20"/>
        </w:rPr>
        <w:t>20.4.2 Para as infrações previstas nos itens 20.1.4, 20.1.5, 20.1.6, 20.1.7 e 20.1.8, a multa será de 15% do valor do contrato licitado.</w:t>
      </w:r>
    </w:p>
    <w:p>
      <w:pPr>
        <w:pStyle w:val="Nivel2"/>
        <w:numPr>
          <w:ilvl w:val="0"/>
          <w:numId w:val="0"/>
        </w:numPr>
        <w:spacing w:lineRule="auto" w:line="240"/>
        <w:ind w:hanging="0" w:left="0"/>
        <w:rPr>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ind w:hanging="0" w:left="0"/>
        <w:rPr>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40"/>
        <w:ind w:hanging="0" w:left="0"/>
        <w:rPr>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Style6"/>
          <w:rFonts w:ascii="Verdana" w:hAnsi="Verdana"/>
          <w:color w:val="000000"/>
          <w:sz w:val="20"/>
          <w:szCs w:val="20"/>
          <w:u w:val="none"/>
        </w:rPr>
        <w:instrText xml:space="preserve"> HYPERLINK "http://www.planalto.gov.br/ccivil_03/_ato2019-2022/2021/lei/L14133.htm" \l "art156%C2%A75"</w:instrText>
      </w:r>
      <w:r>
        <w:rPr>
          <w:rStyle w:val="Style6"/>
          <w:rFonts w:ascii="Verdana" w:hAnsi="Verdana"/>
          <w:color w:val="000000"/>
          <w:sz w:val="20"/>
          <w:szCs w:val="20"/>
          <w:u w:val="none"/>
        </w:rPr>
        <w:fldChar w:fldCharType="separate"/>
      </w:r>
      <w:r>
        <w:rPr>
          <w:rStyle w:val="Style6"/>
          <w:rFonts w:ascii="Verdana" w:hAnsi="Verdana"/>
          <w:color w:val="000000"/>
          <w:sz w:val="20"/>
          <w:szCs w:val="20"/>
          <w:u w:val="none"/>
        </w:rPr>
        <w:t>art. 156, §5º, da Lei n.º 14.133/2021</w:t>
      </w:r>
      <w:r>
        <w:rPr>
          <w:rStyle w:val="Style6"/>
          <w:rFonts w:ascii="Verdana" w:hAnsi="Verdana"/>
          <w:color w:val="000000"/>
          <w:sz w:val="20"/>
          <w:szCs w:val="20"/>
          <w:u w:val="none"/>
        </w:rPr>
        <w:fldChar w:fldCharType="end"/>
      </w:r>
      <w:r>
        <w:rPr>
          <w:rFonts w:ascii="Verdana" w:hAnsi="Verdana"/>
          <w:sz w:val="20"/>
          <w:szCs w:val="20"/>
        </w:rPr>
        <w:t>.</w:t>
      </w:r>
    </w:p>
    <w:p>
      <w:pPr>
        <w:pStyle w:val="Nivel2"/>
        <w:numPr>
          <w:ilvl w:val="0"/>
          <w:numId w:val="0"/>
        </w:numPr>
        <w:spacing w:lineRule="auto" w:line="240"/>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Style6"/>
            <w:rFonts w:ascii="Verdana" w:hAnsi="Verdana"/>
            <w:color w:val="000000"/>
            <w:sz w:val="20"/>
            <w:szCs w:val="20"/>
            <w:u w:val="none"/>
          </w:rPr>
          <w:t>art. 45, §4º da IN SEGES/ME n.º 73, de 2022</w:t>
        </w:r>
      </w:hyperlink>
      <w:r>
        <w:rPr>
          <w:rFonts w:ascii="Verdana" w:hAnsi="Verdana"/>
          <w:sz w:val="20"/>
          <w:szCs w:val="20"/>
        </w:rPr>
        <w:t xml:space="preserve">. </w:t>
      </w:r>
    </w:p>
    <w:p>
      <w:pPr>
        <w:pStyle w:val="Nivel2"/>
        <w:numPr>
          <w:ilvl w:val="0"/>
          <w:numId w:val="0"/>
        </w:numPr>
        <w:spacing w:lineRule="auto" w:line="240"/>
        <w:ind w:hanging="0" w:left="0"/>
        <w:rPr>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ind w:hanging="0" w:left="0"/>
        <w:rPr>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ind w:hanging="0" w:left="0"/>
        <w:rPr>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ind w:hanging="0" w:left="0"/>
        <w:rPr>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ListParagraph"/>
        <w:spacing w:lineRule="auto" w:line="240"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0" w:after="0"/>
        <w:rPr>
          <w:sz w:val="20"/>
          <w:szCs w:val="20"/>
        </w:rPr>
      </w:pPr>
      <w:r>
        <w:rPr>
          <w:rFonts w:cs="Arial" w:ascii="Verdana" w:hAnsi="Verdana"/>
          <w:sz w:val="20"/>
          <w:szCs w:val="20"/>
        </w:rPr>
        <w:t>21. DA IMPUGNAÇÃO AO EDITAL E DO PEDIDO DE ESCLARECIMENTO</w:t>
      </w:r>
    </w:p>
    <w:p>
      <w:pPr>
        <w:pStyle w:val="ListParagraph"/>
        <w:spacing w:lineRule="auto" w:line="240" w:before="57" w:after="57"/>
        <w:ind w:left="0"/>
        <w:contextualSpacing w:val="false"/>
        <w:jc w:val="both"/>
        <w:rPr>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Style6"/>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left="0"/>
        <w:contextualSpacing w:val="false"/>
        <w:jc w:val="both"/>
        <w:rPr>
          <w:sz w:val="20"/>
          <w:szCs w:val="20"/>
        </w:rPr>
      </w:pPr>
      <w:r>
        <w:rPr>
          <w:rFonts w:cs="Arial" w:ascii="Verdana" w:hAnsi="Verdana"/>
          <w:color w:val="000000"/>
          <w:sz w:val="20"/>
          <w:szCs w:val="20"/>
        </w:rPr>
        <w:t>21.8 As respostas aos pedidos de esclarecimentos serão divulgadas pelo sistema e vincularão os participantes e a administração.</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sz w:val="20"/>
          <w:szCs w:val="20"/>
        </w:rPr>
      </w:pPr>
      <w:r>
        <w:rPr>
          <w:rFonts w:cs="Arial" w:ascii="Verdana" w:hAnsi="Verdana"/>
          <w:sz w:val="20"/>
          <w:szCs w:val="20"/>
        </w:rPr>
        <w:t>22. DAS DISPOSIÇÕES GERAIS</w:t>
      </w:r>
    </w:p>
    <w:p>
      <w:pPr>
        <w:pStyle w:val="Normal"/>
        <w:spacing w:lineRule="auto" w:line="240" w:before="57" w:after="57"/>
        <w:jc w:val="both"/>
        <w:rPr>
          <w:sz w:val="20"/>
          <w:szCs w:val="20"/>
        </w:rPr>
      </w:pPr>
      <w:r>
        <w:rPr>
          <w:rFonts w:cs="Arial" w:ascii="Verdana" w:hAnsi="Verdana"/>
          <w:color w:val="000000"/>
          <w:sz w:val="20"/>
          <w:szCs w:val="20"/>
        </w:rPr>
        <w:t>22.1 Da sessão pública do Pregão divulgar-se-á Ata no sistema eletrônico.</w:t>
      </w:r>
    </w:p>
    <w:p>
      <w:pPr>
        <w:pStyle w:val="Normal"/>
        <w:spacing w:lineRule="auto" w:line="240" w:before="57" w:after="57"/>
        <w:jc w:val="both"/>
        <w:rPr>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jc w:val="both"/>
        <w:rPr>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jc w:val="both"/>
        <w:rPr>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0" w:name="_Hlk123138684_Copia_3"/>
      <w:r>
        <w:rPr>
          <w:rFonts w:cs="Arial" w:ascii="Verdana" w:hAnsi="Verdana"/>
          <w:color w:val="000000"/>
          <w:sz w:val="20"/>
          <w:szCs w:val="20"/>
          <w:u w:val="single"/>
        </w:rPr>
        <w:t>www.portaldecompraspublicas.com.br</w:t>
      </w:r>
      <w:bookmarkEnd w:id="20"/>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Style6"/>
            <w:rFonts w:ascii="Verdana" w:hAnsi="Verdana"/>
            <w:color w:val="000080"/>
            <w:sz w:val="20"/>
            <w:szCs w:val="20"/>
            <w:u w:val="single"/>
          </w:rPr>
          <w:t>licitacao@</w:t>
        </w:r>
      </w:hyperlink>
      <w:hyperlink r:id="rId11">
        <w:r>
          <w:rPr>
            <w:rStyle w:val="Style6"/>
            <w:rFonts w:ascii="Verdana" w:hAnsi="Verdana"/>
            <w:color w:val="000080"/>
            <w:sz w:val="20"/>
            <w:szCs w:val="20"/>
            <w:u w:val="single"/>
          </w:rPr>
          <w:t>saogabriel</w:t>
        </w:r>
      </w:hyperlink>
      <w:hyperlink r:id="rId12">
        <w:r>
          <w:rPr>
            <w:rStyle w:val="Style6"/>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jc w:val="both"/>
        <w:rPr>
          <w:sz w:val="20"/>
          <w:szCs w:val="20"/>
        </w:rPr>
      </w:pPr>
      <w:r>
        <w:rPr>
          <w:rFonts w:cs="Arial" w:ascii="Verdana" w:hAnsi="Verdana"/>
          <w:color w:val="000000"/>
          <w:sz w:val="20"/>
          <w:szCs w:val="20"/>
        </w:rPr>
        <w:t>22.12 Integram este Edital, para todos os fins e efeitos, os seguintes anexos</w:t>
      </w:r>
    </w:p>
    <w:p>
      <w:pPr>
        <w:pStyle w:val="Normal"/>
        <w:spacing w:lineRule="auto" w:line="240" w:before="57" w:after="57"/>
        <w:jc w:val="both"/>
        <w:rPr>
          <w:sz w:val="20"/>
          <w:szCs w:val="20"/>
        </w:rPr>
      </w:pPr>
      <w:r>
        <w:rPr>
          <w:rFonts w:cs="Arial" w:ascii="Verdana" w:hAnsi="Verdana"/>
          <w:color w:val="000000"/>
          <w:sz w:val="20"/>
          <w:szCs w:val="20"/>
        </w:rPr>
        <w:t>22.12.1 ANEXO I – Modelo Orientativo de Proposta;</w:t>
      </w:r>
    </w:p>
    <w:p>
      <w:pPr>
        <w:pStyle w:val="Normal"/>
        <w:spacing w:lineRule="auto" w:line="240" w:before="57" w:after="57"/>
        <w:jc w:val="both"/>
        <w:rPr>
          <w:sz w:val="20"/>
          <w:szCs w:val="20"/>
        </w:rPr>
      </w:pPr>
      <w:r>
        <w:rPr>
          <w:rFonts w:cs="Arial" w:ascii="Verdana" w:hAnsi="Verdana"/>
          <w:color w:val="000000"/>
          <w:sz w:val="20"/>
          <w:szCs w:val="20"/>
        </w:rPr>
        <w:t>22.12.2 ANEXO II – Termo de Referência;</w:t>
      </w:r>
    </w:p>
    <w:p>
      <w:pPr>
        <w:pStyle w:val="Normal"/>
        <w:spacing w:lineRule="auto" w:line="240" w:before="57" w:after="57"/>
        <w:jc w:val="both"/>
        <w:rPr>
          <w:sz w:val="20"/>
          <w:szCs w:val="20"/>
        </w:rPr>
      </w:pPr>
      <w:r>
        <w:rPr>
          <w:rFonts w:cs="Arial" w:ascii="Verdana" w:hAnsi="Verdana"/>
          <w:color w:val="000000"/>
          <w:sz w:val="20"/>
          <w:szCs w:val="20"/>
        </w:rPr>
        <w:t>22.12.3 ANEXO II-1 – Estudo Técnico Preliminar;</w:t>
      </w:r>
    </w:p>
    <w:p>
      <w:pPr>
        <w:pStyle w:val="Normal"/>
        <w:tabs>
          <w:tab w:val="clear" w:pos="720"/>
          <w:tab w:val="left" w:pos="800" w:leader="none"/>
        </w:tabs>
        <w:snapToGrid w:val="false"/>
        <w:spacing w:lineRule="auto" w:line="240" w:before="57" w:after="57"/>
        <w:jc w:val="both"/>
        <w:rPr>
          <w:sz w:val="20"/>
          <w:szCs w:val="20"/>
        </w:rPr>
      </w:pPr>
      <w:r>
        <w:rPr>
          <w:rFonts w:cs="Arial" w:ascii="Verdana" w:hAnsi="Verdana"/>
          <w:color w:val="000000"/>
          <w:sz w:val="20"/>
          <w:szCs w:val="20"/>
        </w:rPr>
        <w:t>22.12.3 ANEXO III – Minuta de Ata de Registro de Preços;</w:t>
      </w:r>
    </w:p>
    <w:p>
      <w:pPr>
        <w:pStyle w:val="Normal"/>
        <w:tabs>
          <w:tab w:val="clear" w:pos="720"/>
          <w:tab w:val="left" w:pos="800" w:leader="none"/>
        </w:tabs>
        <w:snapToGrid w:val="false"/>
        <w:spacing w:lineRule="auto" w:line="240" w:before="57" w:after="57"/>
        <w:jc w:val="both"/>
        <w:rPr>
          <w:sz w:val="20"/>
          <w:szCs w:val="20"/>
        </w:rPr>
      </w:pPr>
      <w:r>
        <w:rPr>
          <w:rFonts w:cs="Arial" w:ascii="Verdana" w:hAnsi="Verdana"/>
          <w:color w:val="000000"/>
          <w:sz w:val="20"/>
          <w:szCs w:val="20"/>
        </w:rPr>
        <w:t>22.12.4 ANEXO IV – Modelo Orientativo de Planilha de Composição de Custos.</w:t>
      </w:r>
    </w:p>
    <w:p>
      <w:pPr>
        <w:pStyle w:val="Normal"/>
        <w:tabs>
          <w:tab w:val="clear" w:pos="720"/>
          <w:tab w:val="left" w:pos="800" w:leader="none"/>
        </w:tabs>
        <w:snapToGrid w:val="false"/>
        <w:spacing w:lineRule="auto" w:line="240" w:before="57" w:after="57"/>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40"/>
        <w:ind w:hanging="0" w:left="360"/>
        <w:jc w:val="center"/>
        <w:outlineLvl w:val="0"/>
        <w:rPr>
          <w:sz w:val="20"/>
          <w:szCs w:val="20"/>
        </w:rPr>
      </w:pPr>
      <w:r>
        <w:rPr>
          <w:rFonts w:cs="Arial" w:ascii="Verdana" w:hAnsi="Verdana"/>
          <w:color w:val="000000"/>
          <w:sz w:val="20"/>
          <w:szCs w:val="20"/>
        </w:rPr>
        <w:t>São Gabriel da Palha/ES, 21 de agosto de 2026.</w:t>
      </w:r>
    </w:p>
    <w:p>
      <w:pPr>
        <w:pStyle w:val="Normal"/>
        <w:tabs>
          <w:tab w:val="clear" w:pos="720"/>
          <w:tab w:val="left" w:pos="1440" w:leader="none"/>
        </w:tabs>
        <w:snapToGrid w:val="false"/>
        <w:spacing w:lineRule="auto" w:line="240" w:before="120" w:after="120"/>
        <w:ind w:left="1638"/>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40" w:before="120" w:after="120"/>
        <w:ind w:left="1638"/>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40" w:before="120" w:after="120"/>
        <w:ind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20"/>
          <w:tab w:val="left" w:pos="567" w:leader="none"/>
        </w:tabs>
        <w:spacing w:lineRule="auto" w:line="240"/>
        <w:ind w:hanging="0" w:left="0" w:right="113"/>
        <w:jc w:val="center"/>
        <w:outlineLvl w:val="0"/>
        <w:rPr>
          <w:sz w:val="20"/>
          <w:szCs w:val="20"/>
        </w:rPr>
      </w:pPr>
      <w:r>
        <w:rPr>
          <w:rFonts w:eastAsia="" w:cs="Arial" w:ascii="Verdana" w:hAnsi="Verdana" w:eastAsiaTheme="majorEastAsia"/>
          <w:b/>
          <w:bCs/>
          <w:color w:val="000000"/>
          <w:sz w:val="20"/>
          <w:szCs w:val="20"/>
        </w:rPr>
        <w:t>FRANCIELI DA ROCHA ÁVILA</w:t>
      </w:r>
    </w:p>
    <w:p>
      <w:pPr>
        <w:pStyle w:val="Normal"/>
        <w:keepNext w:val="true"/>
        <w:keepLines/>
        <w:numPr>
          <w:ilvl w:val="0"/>
          <w:numId w:val="0"/>
        </w:numPr>
        <w:tabs>
          <w:tab w:val="clear" w:pos="720"/>
          <w:tab w:val="left" w:pos="567" w:leader="none"/>
        </w:tabs>
        <w:spacing w:lineRule="auto" w:line="240"/>
        <w:ind w:hanging="0" w:left="0" w:right="113"/>
        <w:jc w:val="center"/>
        <w:outlineLvl w:val="0"/>
        <w:rPr>
          <w:sz w:val="20"/>
          <w:szCs w:val="20"/>
        </w:rPr>
      </w:pPr>
      <w:r>
        <w:rPr>
          <w:rFonts w:eastAsia="" w:cs="Arial" w:ascii="Verdana" w:hAnsi="Verdana" w:eastAsiaTheme="majorEastAsia"/>
          <w:b/>
          <w:bCs/>
          <w:color w:val="000000"/>
          <w:sz w:val="20"/>
          <w:szCs w:val="20"/>
        </w:rPr>
        <w:t>Secretária Municipal de Administração</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158" w:bottom="82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Ecofont_Spranq_eco_Sans">
    <w:charset w:val="01"/>
    <w:family w:val="roman"/>
    <w:pitch w:val="default"/>
  </w:font>
  <w:font w:name="Calibri">
    <w:charset w:val="01"/>
    <w:family w:val="roman"/>
    <w:pitch w:val="default"/>
  </w:font>
  <w:font w:name="Tahoma">
    <w:charset w:val="01"/>
    <w:family w:val="roman"/>
    <w:pitch w:val="default"/>
  </w:font>
  <w:font w:name="Arial">
    <w:charset w:val="01"/>
    <w:family w:val="swiss"/>
    <w:pitch w:val="default"/>
  </w:font>
  <w:font w:name="Liberation Sans">
    <w:altName w:val="Arial"/>
    <w:charset w:val="00"/>
    <w:family w:val="swiss"/>
    <w:pitch w:val="variable"/>
  </w:font>
  <w:font w:name="Liberation Sans">
    <w:altName w:val="Arial"/>
    <w:charset w:val="01"/>
    <w:family w:val="swiss"/>
    <w:pitch w:val="default"/>
  </w:font>
  <w:font w:name="Verdana">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distT="0" distB="0" distL="114935" distR="114935" simplePos="0" relativeHeight="18" behindDoc="1" locked="0" layoutInCell="0" allowOverlap="1">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a:noFill/>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distT="0" distB="0" distL="114935" distR="114935" simplePos="0" relativeHeight="18" behindDoc="1" locked="0" layoutInCell="0" allowOverlap="1">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a:noFill/>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b/>
        <w:i w:val="false"/>
        <w:strike w:val="false"/>
        <w:dstrike w:val="false"/>
      </w:rPr>
    </w:lvl>
    <w:lvl w:ilvl="1">
      <w:start w:val="1"/>
      <w:numFmt w:val="decimal"/>
      <w:lvlText w:val="%1.%2"/>
      <w:lvlJc w:val="left"/>
      <w:pPr>
        <w:tabs>
          <w:tab w:val="num" w:pos="0"/>
        </w:tabs>
        <w:ind w:left="858" w:hanging="432"/>
      </w:pPr>
      <w:rPr>
        <w:b w:val="false"/>
        <w:strike w:val="false"/>
        <w:dstrike w:val="false"/>
      </w:rPr>
    </w:lvl>
    <w:lvl w:ilvl="2">
      <w:start w:val="1"/>
      <w:numFmt w:val="decimal"/>
      <w:lvlText w:val="%1.%2.%3"/>
      <w:lvlJc w:val="left"/>
      <w:pPr>
        <w:tabs>
          <w:tab w:val="num" w:pos="0"/>
        </w:tabs>
        <w:ind w:left="1224" w:hanging="504"/>
      </w:pPr>
      <w:rPr>
        <w:i w:val="false"/>
        <w:strike w:val="false"/>
        <w:dstrike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Comment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user" w:customStyle="1">
    <w:name w:val="Símbolos de numeração (user)"/>
    <w:qFormat/>
    <w:rPr/>
  </w:style>
  <w:style w:type="character" w:styleId="FollowedHyperlink">
    <w:name w:val="FollowedHyperlink"/>
    <w:basedOn w:val="DefaultParagraphFont"/>
    <w:rPr>
      <w:color w:themeColor="followedHyperlink" w:val="954F72"/>
      <w:u w:val="single"/>
    </w:rPr>
  </w:style>
  <w:style w:type="character" w:styleId="Hyperlink">
    <w:name w:val="Hyperlink"/>
    <w:uiPriority w:val="99"/>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name w:val="Índice"/>
    <w:basedOn w:val="Normal"/>
    <w:qFormat/>
    <w:pPr>
      <w:suppressLineNumbers/>
    </w:pPr>
    <w:rPr>
      <w:rFonts w:ascii="Times New Roman" w:hAnsi="Times New Roman"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customStyle="1">
    <w:name w:val="Índice (user)"/>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CommentText">
    <w:name w:val="annotation text"/>
    <w:basedOn w:val="Normal"/>
    <w:qFormat/>
    <w:pPr/>
    <w:rPr>
      <w:sz w:val="20"/>
      <w:szCs w:val="20"/>
    </w:rPr>
  </w:style>
  <w:style w:type="paragraph" w:styleId="annotationsubject">
    <w:name w:val="annotation subject"/>
    <w:basedOn w:val="CommentText"/>
    <w:next w:val="Comment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user" w:default="1">
    <w:name w:val="Sem lista (user)"/>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2886</TotalTime>
  <Application>LibreOffice/26.2.5.2$Windows_X86_64 LibreOffice_project/cd7284b4cbbfeb507e630c1aac019f4157393acb</Application>
  <AppVersion>15.0000</AppVersion>
  <Pages>17</Pages>
  <Words>9170</Words>
  <Characters>52032</Characters>
  <CharactersWithSpaces>60797</CharactersWithSpaces>
  <Paragraphs>342</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2024-07-09T16:13:00Z</cp:lastPrinted>
  <dcterms:modified xsi:type="dcterms:W3CDTF">2026-08-27T14:10:15Z</dcterms:modified>
  <cp:revision>142</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